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ascii="黑体" w:hAnsi="华文中宋" w:eastAsia="黑体"/>
          <w:color w:val="auto"/>
          <w:sz w:val="28"/>
          <w:szCs w:val="28"/>
        </w:rPr>
      </w:pPr>
      <w:r>
        <w:rPr>
          <w:rFonts w:hint="eastAsia" w:ascii="黑体" w:hAnsi="华文中宋" w:eastAsia="黑体"/>
          <w:color w:val="auto"/>
          <w:sz w:val="28"/>
          <w:szCs w:val="28"/>
        </w:rPr>
        <w:t>附件1：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第十八届中国中学生乒乓球锦标赛竞赛规程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rPr>
        <w:t>一、主办单位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中国中学生体育协会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rPr>
        <w:t>二、执行单位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中国中学生体育协会乒乓球分会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rPr>
        <w:t>三、承办单位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浙江省桐乡市茅盾中学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color w:val="auto"/>
        </w:rPr>
      </w:pPr>
      <w:r>
        <w:rPr>
          <w:rFonts w:hint="eastAsia" w:ascii="黑体" w:hAnsi="黑体" w:eastAsia="黑体"/>
          <w:color w:val="auto"/>
          <w:sz w:val="32"/>
          <w:szCs w:val="32"/>
        </w:rPr>
        <w:t>四、比赛日期及地点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比赛时间：2017年7月</w:t>
      </w:r>
      <w:r>
        <w:rPr>
          <w:rFonts w:hint="eastAsia" w:ascii="仿宋_GB2312" w:hAnsi="仿宋" w:eastAsia="仿宋_GB2312"/>
          <w:color w:val="auto"/>
          <w:sz w:val="32"/>
          <w:szCs w:val="32"/>
        </w:rPr>
        <w:t>26</w:t>
      </w:r>
      <w:r>
        <w:rPr>
          <w:rFonts w:hint="eastAsia" w:ascii="仿宋_GB2312" w:hAnsi="仿宋" w:eastAsia="仿宋_GB2312"/>
          <w:color w:val="auto"/>
          <w:sz w:val="32"/>
          <w:szCs w:val="32"/>
        </w:rPr>
        <w:t>日-8月4日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比赛地点：桐乡波力运动旗舰馆、中国巨石体育馆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hint="eastAsia" w:ascii="黑体" w:hAnsi="黑体" w:eastAsia="黑体"/>
          <w:color w:val="auto"/>
          <w:sz w:val="32"/>
          <w:szCs w:val="32"/>
        </w:rPr>
        <w:t>、</w:t>
      </w:r>
      <w:r>
        <w:rPr>
          <w:rFonts w:ascii="黑体" w:hAnsi="黑体" w:eastAsia="黑体"/>
          <w:color w:val="auto"/>
          <w:sz w:val="32"/>
          <w:szCs w:val="32"/>
        </w:rPr>
        <w:t>竞赛项目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ascii="仿宋_GB2312" w:hAnsi="仿宋" w:eastAsia="仿宋_GB2312"/>
          <w:color w:val="auto"/>
          <w:sz w:val="32"/>
          <w:szCs w:val="32"/>
        </w:rPr>
        <w:t>甲组（高中组）</w:t>
      </w:r>
      <w:r>
        <w:rPr>
          <w:rFonts w:hint="eastAsia" w:ascii="仿宋_GB2312" w:hAnsi="仿宋" w:eastAsia="仿宋_GB2312"/>
          <w:color w:val="auto"/>
          <w:sz w:val="32"/>
          <w:szCs w:val="32"/>
        </w:rPr>
        <w:t>、</w:t>
      </w:r>
      <w:r>
        <w:rPr>
          <w:rFonts w:ascii="仿宋_GB2312" w:hAnsi="仿宋" w:eastAsia="仿宋_GB2312"/>
          <w:color w:val="auto"/>
          <w:sz w:val="32"/>
          <w:szCs w:val="32"/>
        </w:rPr>
        <w:t>乙组</w:t>
      </w:r>
      <w:r>
        <w:rPr>
          <w:rFonts w:hint="eastAsia" w:ascii="仿宋_GB2312" w:hAnsi="仿宋" w:eastAsia="仿宋_GB2312"/>
          <w:color w:val="auto"/>
          <w:sz w:val="32"/>
          <w:szCs w:val="32"/>
        </w:rPr>
        <w:t>（初中组）均设</w:t>
      </w:r>
      <w:r>
        <w:rPr>
          <w:rFonts w:ascii="仿宋_GB2312" w:hAnsi="仿宋" w:eastAsia="仿宋_GB2312"/>
          <w:color w:val="auto"/>
          <w:sz w:val="32"/>
          <w:szCs w:val="32"/>
        </w:rPr>
        <w:t>：</w:t>
      </w:r>
      <w:r>
        <w:rPr>
          <w:rFonts w:hint="eastAsia" w:ascii="仿宋_GB2312" w:hAnsi="仿宋" w:eastAsia="仿宋_GB2312"/>
          <w:color w:val="auto"/>
          <w:sz w:val="32"/>
          <w:szCs w:val="32"/>
        </w:rPr>
        <w:t>男子团体、女子团体、</w:t>
      </w:r>
      <w:r>
        <w:rPr>
          <w:rFonts w:ascii="仿宋_GB2312" w:hAnsi="仿宋" w:eastAsia="仿宋_GB2312"/>
          <w:color w:val="auto"/>
          <w:sz w:val="32"/>
          <w:szCs w:val="32"/>
        </w:rPr>
        <w:t>男</w:t>
      </w:r>
      <w:r>
        <w:rPr>
          <w:rFonts w:hint="eastAsia" w:ascii="仿宋_GB2312" w:hAnsi="仿宋" w:eastAsia="仿宋_GB2312"/>
          <w:color w:val="auto"/>
          <w:sz w:val="32"/>
          <w:szCs w:val="32"/>
        </w:rPr>
        <w:t>子单打</w:t>
      </w:r>
      <w:r>
        <w:rPr>
          <w:rFonts w:ascii="仿宋_GB2312" w:hAnsi="仿宋" w:eastAsia="仿宋_GB2312"/>
          <w:color w:val="auto"/>
          <w:sz w:val="32"/>
          <w:szCs w:val="32"/>
        </w:rPr>
        <w:t>、女</w:t>
      </w:r>
      <w:r>
        <w:rPr>
          <w:rFonts w:hint="eastAsia" w:ascii="仿宋_GB2312" w:hAnsi="仿宋" w:eastAsia="仿宋_GB2312"/>
          <w:color w:val="auto"/>
          <w:sz w:val="32"/>
          <w:szCs w:val="32"/>
        </w:rPr>
        <w:t>子</w:t>
      </w:r>
      <w:r>
        <w:rPr>
          <w:rFonts w:ascii="仿宋_GB2312" w:hAnsi="仿宋" w:eastAsia="仿宋_GB2312"/>
          <w:color w:val="auto"/>
          <w:sz w:val="32"/>
          <w:szCs w:val="32"/>
        </w:rPr>
        <w:t>单</w:t>
      </w:r>
      <w:r>
        <w:rPr>
          <w:rFonts w:hint="eastAsia" w:ascii="仿宋_GB2312" w:hAnsi="仿宋" w:eastAsia="仿宋_GB2312"/>
          <w:color w:val="auto"/>
          <w:sz w:val="32"/>
          <w:szCs w:val="32"/>
        </w:rPr>
        <w:t>打、男子双打、女子双打、混合双打七个比赛项目。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hint="eastAsia" w:ascii="黑体" w:hAnsi="黑体" w:eastAsia="黑体"/>
          <w:color w:val="auto"/>
          <w:sz w:val="32"/>
          <w:szCs w:val="32"/>
        </w:rPr>
        <w:t>、参赛条件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中国中学生体育协会乒乓球分会正式会员学校和预备会员学校的队员均需经备案、报名后资格审查，合格后方可参加比赛。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七</w:t>
      </w:r>
      <w:r>
        <w:rPr>
          <w:rFonts w:hint="eastAsia" w:ascii="黑体" w:hAnsi="黑体" w:eastAsia="黑体"/>
          <w:color w:val="auto"/>
          <w:sz w:val="32"/>
          <w:szCs w:val="32"/>
        </w:rPr>
        <w:t>、参赛运动队(员)条件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ascii="仿宋_GB2312" w:hAnsi="仿宋" w:eastAsia="仿宋_GB2312"/>
          <w:color w:val="auto"/>
          <w:sz w:val="32"/>
          <w:szCs w:val="32"/>
        </w:rPr>
        <w:t>1、</w:t>
      </w:r>
      <w:r>
        <w:rPr>
          <w:rFonts w:hint="eastAsia" w:ascii="仿宋_GB2312" w:hAnsi="仿宋" w:eastAsia="仿宋_GB2312"/>
          <w:color w:val="auto"/>
          <w:sz w:val="32"/>
          <w:szCs w:val="32"/>
        </w:rPr>
        <w:t>参赛运动员必须是全日制普通中等中学正式学籍的在读在训的学生。参赛运动员必须是作风正派，遵守学校各有关规定，文化课考试成绩合格，并经医院检查身体健康者。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ascii="仿宋_GB2312" w:hAnsi="仿宋" w:eastAsia="仿宋_GB2312"/>
          <w:color w:val="auto"/>
          <w:sz w:val="32"/>
          <w:szCs w:val="32"/>
        </w:rPr>
        <w:t>2、</w:t>
      </w:r>
      <w:r>
        <w:rPr>
          <w:rFonts w:hint="eastAsia" w:ascii="仿宋_GB2312" w:hAnsi="仿宋" w:eastAsia="仿宋_GB2312"/>
          <w:color w:val="auto"/>
          <w:sz w:val="32"/>
          <w:szCs w:val="32"/>
        </w:rPr>
        <w:t>高中组参赛运动员必须是1998年9月1日（含9月1日）以后出生者，初中组参赛运动员必须是2001年9月1日（含9月1日）以后出生者。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3</w:t>
      </w:r>
      <w:r>
        <w:rPr>
          <w:rFonts w:ascii="仿宋_GB2312" w:hAnsi="仿宋" w:eastAsia="仿宋_GB2312"/>
          <w:color w:val="auto"/>
          <w:sz w:val="32"/>
          <w:szCs w:val="32"/>
        </w:rPr>
        <w:t>、</w:t>
      </w:r>
      <w:r>
        <w:rPr>
          <w:rFonts w:hint="eastAsia" w:ascii="仿宋_GB2312" w:hAnsi="仿宋" w:eastAsia="仿宋_GB2312"/>
          <w:color w:val="auto"/>
          <w:sz w:val="32"/>
          <w:szCs w:val="32"/>
        </w:rPr>
        <w:t>凡2016年、2017年在国家体育总局乒羽中心履行乒乓球专业运动员注册参加乒羽中心举办的超级联赛、甲A、甲B级别的俱乐部比赛的运动员、代表各省参加全运会、全国锦标赛、全国青年锦标赛（预赛、决赛）的运动员和加入国外职业俱乐部的运动员均不得参加本次比赛（代表所在学校比赛除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4、参赛运动员必须是具有本参赛学校正式学籍的在校在读学生，凡是以任何名义挂靠在学校或已在青年队以及职业队试训的学生不得参加本次比赛。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5、体育运动学校以及具有同等性质的中等专业学校不允许参加本次比赛。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6、报名截止后将会在中国学生体育网进行名单公示。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八</w:t>
      </w:r>
      <w:r>
        <w:rPr>
          <w:rFonts w:ascii="黑体" w:hAnsi="黑体" w:eastAsia="黑体"/>
          <w:color w:val="auto"/>
          <w:sz w:val="32"/>
          <w:szCs w:val="32"/>
        </w:rPr>
        <w:t>、注册</w:t>
      </w:r>
      <w:r>
        <w:rPr>
          <w:rFonts w:hint="eastAsia" w:ascii="黑体" w:hAnsi="黑体" w:eastAsia="黑体"/>
          <w:color w:val="auto"/>
          <w:sz w:val="32"/>
          <w:szCs w:val="32"/>
        </w:rPr>
        <w:t>与</w:t>
      </w:r>
      <w:r>
        <w:rPr>
          <w:rFonts w:ascii="黑体" w:hAnsi="黑体" w:eastAsia="黑体"/>
          <w:color w:val="auto"/>
          <w:sz w:val="32"/>
          <w:szCs w:val="32"/>
        </w:rPr>
        <w:t>报名</w:t>
      </w:r>
      <w:r>
        <w:rPr>
          <w:rFonts w:hint="eastAsia" w:ascii="黑体" w:hAnsi="黑体" w:eastAsia="黑体"/>
          <w:color w:val="auto"/>
          <w:sz w:val="32"/>
          <w:szCs w:val="32"/>
        </w:rPr>
        <w:t>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ascii="楷体_GB2312" w:hAnsi="仿宋" w:eastAsia="楷体_GB2312"/>
          <w:b/>
          <w:color w:val="auto"/>
          <w:sz w:val="32"/>
          <w:szCs w:val="32"/>
        </w:rPr>
      </w:pPr>
      <w:r>
        <w:rPr>
          <w:rFonts w:hint="eastAsia" w:ascii="楷体_GB2312" w:hAnsi="仿宋" w:eastAsia="楷体_GB2312"/>
          <w:b/>
          <w:color w:val="auto"/>
          <w:sz w:val="32"/>
          <w:szCs w:val="32"/>
        </w:rPr>
        <w:t>（一）注册办法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1、</w:t>
      </w:r>
      <w:r>
        <w:rPr>
          <w:rFonts w:ascii="仿宋_GB2312" w:hAnsi="仿宋" w:eastAsia="仿宋_GB2312"/>
          <w:color w:val="auto"/>
          <w:sz w:val="32"/>
          <w:szCs w:val="32"/>
        </w:rPr>
        <w:t>所有参赛运动员必须以运动员所在学校为单位在《中国学生体育竞赛管理系统》中进行网上注册。参赛运动员所在学校的学校管理员需登录《中国学生体育竞赛管理系统》（http://nssc.org.cn）进行运动员网上注册，注册的有效期限为1年（时间为每年的9月1日到第二年的9月1日），每年注册一次。参赛运动员在完成网上注册并</w:t>
      </w:r>
      <w:r>
        <w:rPr>
          <w:rFonts w:hint="eastAsia" w:ascii="仿宋_GB2312" w:hAnsi="仿宋" w:eastAsia="仿宋_GB2312"/>
          <w:color w:val="auto"/>
          <w:sz w:val="32"/>
          <w:szCs w:val="32"/>
        </w:rPr>
        <w:t>审核</w:t>
      </w:r>
      <w:r>
        <w:rPr>
          <w:rFonts w:ascii="仿宋_GB2312" w:hAnsi="仿宋" w:eastAsia="仿宋_GB2312"/>
          <w:color w:val="auto"/>
          <w:sz w:val="32"/>
          <w:szCs w:val="32"/>
        </w:rPr>
        <w:t>成功后方可进行报名（详见《中国学生体育竞赛管理系统》首页“系统使用者必看”中的相关规定）。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2、</w:t>
      </w:r>
      <w:r>
        <w:rPr>
          <w:rFonts w:ascii="仿宋_GB2312" w:hAnsi="仿宋" w:eastAsia="仿宋_GB2312"/>
          <w:color w:val="auto"/>
          <w:sz w:val="32"/>
          <w:szCs w:val="32"/>
        </w:rPr>
        <w:t>注册时需按要求填写教练员信息、运动员信息、上传参赛运动员本人的学籍证明、第二代身份证件及近期免冠一寸照片等有关材料。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中国中学生</w:t>
      </w:r>
      <w:r>
        <w:rPr>
          <w:rFonts w:ascii="仿宋_GB2312" w:hAnsi="仿宋" w:eastAsia="仿宋_GB2312"/>
          <w:color w:val="auto"/>
          <w:sz w:val="32"/>
          <w:szCs w:val="32"/>
        </w:rPr>
        <w:t>体育协会注册工作联系人：</w:t>
      </w:r>
      <w:r>
        <w:rPr>
          <w:rFonts w:hint="eastAsia" w:ascii="仿宋_GB2312" w:hAnsi="仿宋" w:eastAsia="仿宋_GB2312"/>
          <w:color w:val="auto"/>
          <w:sz w:val="32"/>
          <w:szCs w:val="32"/>
        </w:rPr>
        <w:t>李阳、孙变丽，</w:t>
      </w:r>
      <w:r>
        <w:rPr>
          <w:rFonts w:ascii="仿宋_GB2312" w:hAnsi="仿宋" w:eastAsia="仿宋_GB2312"/>
          <w:color w:val="auto"/>
          <w:sz w:val="32"/>
          <w:szCs w:val="32"/>
        </w:rPr>
        <w:t>联系电话：010-66093</w:t>
      </w:r>
      <w:r>
        <w:rPr>
          <w:rFonts w:hint="eastAsia" w:ascii="仿宋_GB2312" w:hAnsi="仿宋" w:eastAsia="仿宋_GB2312"/>
          <w:color w:val="auto"/>
          <w:sz w:val="32"/>
          <w:szCs w:val="32"/>
        </w:rPr>
        <w:t>749、010-66093753。</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3、</w:t>
      </w:r>
      <w:r>
        <w:rPr>
          <w:rFonts w:ascii="仿宋_GB2312" w:hAnsi="仿宋" w:eastAsia="仿宋_GB2312"/>
          <w:color w:val="auto"/>
          <w:sz w:val="32"/>
          <w:szCs w:val="32"/>
        </w:rPr>
        <w:t>参赛运动员的注册时间，分为集中办理和赛前办理。集中办理日期为每年的</w:t>
      </w:r>
      <w:r>
        <w:rPr>
          <w:rFonts w:hint="eastAsia" w:ascii="仿宋_GB2312" w:hAnsi="仿宋" w:eastAsia="仿宋_GB2312"/>
          <w:color w:val="auto"/>
          <w:sz w:val="32"/>
          <w:szCs w:val="32"/>
        </w:rPr>
        <w:t>9月1日</w:t>
      </w:r>
      <w:r>
        <w:rPr>
          <w:rFonts w:ascii="仿宋_GB2312" w:hAnsi="仿宋" w:eastAsia="仿宋_GB2312"/>
          <w:color w:val="auto"/>
          <w:sz w:val="32"/>
          <w:szCs w:val="32"/>
        </w:rPr>
        <w:t>至</w:t>
      </w:r>
      <w:r>
        <w:rPr>
          <w:rFonts w:hint="eastAsia" w:ascii="仿宋_GB2312" w:hAnsi="仿宋" w:eastAsia="仿宋_GB2312"/>
          <w:color w:val="auto"/>
          <w:sz w:val="32"/>
          <w:szCs w:val="32"/>
        </w:rPr>
        <w:t>12月31</w:t>
      </w:r>
      <w:r>
        <w:rPr>
          <w:rFonts w:ascii="仿宋_GB2312" w:hAnsi="仿宋"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4、本届锦标赛各参赛队注册工作须于6月1日前完成。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ascii="楷体_GB2312" w:hAnsi="仿宋" w:eastAsia="楷体_GB2312"/>
          <w:b/>
          <w:color w:val="auto"/>
          <w:sz w:val="32"/>
          <w:szCs w:val="32"/>
        </w:rPr>
      </w:pPr>
      <w:r>
        <w:rPr>
          <w:rFonts w:ascii="楷体_GB2312" w:hAnsi="仿宋" w:eastAsia="楷体_GB2312"/>
          <w:b/>
          <w:color w:val="auto"/>
          <w:sz w:val="32"/>
          <w:szCs w:val="32"/>
        </w:rPr>
        <w:t>（二）报名</w:t>
      </w:r>
      <w:r>
        <w:rPr>
          <w:rFonts w:hint="eastAsia" w:ascii="楷体_GB2312" w:hAnsi="仿宋" w:eastAsia="楷体_GB2312"/>
          <w:b/>
          <w:color w:val="auto"/>
          <w:sz w:val="32"/>
          <w:szCs w:val="32"/>
        </w:rPr>
        <w:t>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ascii="仿宋_GB2312" w:hAnsi="仿宋" w:eastAsia="仿宋_GB2312"/>
          <w:color w:val="auto"/>
          <w:sz w:val="32"/>
          <w:szCs w:val="32"/>
        </w:rPr>
        <w:t>1、</w:t>
      </w:r>
      <w:r>
        <w:rPr>
          <w:rFonts w:hint="eastAsia" w:ascii="仿宋_GB2312" w:hAnsi="仿宋" w:eastAsia="仿宋_GB2312"/>
          <w:color w:val="auto"/>
          <w:sz w:val="32"/>
          <w:szCs w:val="32"/>
        </w:rPr>
        <w:t>每学校限报领队1人（比赛期间全程在赛场）；每学校限报男子高中组、女子高中组、男子初中组、女子初中组各1队，每队限报教练1人，运动员5人(可兼单打)。双打、混合双打每队限报两对运动员。每名参赛队员最多只可参加3项比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2、报名时请按运动员技术水平由高至低排列，抽签时以报名排序为依据。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3</w:t>
      </w:r>
      <w:r>
        <w:rPr>
          <w:rFonts w:ascii="仿宋_GB2312" w:hAnsi="仿宋" w:eastAsia="仿宋_GB2312"/>
          <w:color w:val="auto"/>
          <w:sz w:val="32"/>
          <w:szCs w:val="32"/>
        </w:rPr>
        <w:t>、运动员注册成功后，进行报名信息的填写，并于201</w:t>
      </w:r>
      <w:r>
        <w:rPr>
          <w:rFonts w:hint="eastAsia" w:ascii="仿宋_GB2312" w:hAnsi="仿宋" w:eastAsia="仿宋_GB2312"/>
          <w:color w:val="auto"/>
          <w:sz w:val="32"/>
          <w:szCs w:val="32"/>
        </w:rPr>
        <w:t>7</w:t>
      </w:r>
      <w:r>
        <w:rPr>
          <w:rFonts w:ascii="仿宋_GB2312" w:hAnsi="仿宋" w:eastAsia="仿宋_GB2312"/>
          <w:color w:val="auto"/>
          <w:sz w:val="32"/>
          <w:szCs w:val="32"/>
        </w:rPr>
        <w:t>年6月</w:t>
      </w:r>
      <w:r>
        <w:rPr>
          <w:rFonts w:hint="eastAsia" w:ascii="仿宋_GB2312" w:hAnsi="仿宋" w:eastAsia="仿宋_GB2312"/>
          <w:color w:val="auto"/>
          <w:sz w:val="32"/>
          <w:szCs w:val="32"/>
        </w:rPr>
        <w:t>10</w:t>
      </w:r>
      <w:r>
        <w:rPr>
          <w:rFonts w:ascii="仿宋_GB2312" w:hAnsi="仿宋" w:eastAsia="仿宋_GB2312"/>
          <w:color w:val="auto"/>
          <w:sz w:val="32"/>
          <w:szCs w:val="32"/>
        </w:rPr>
        <w:t>日前，将报名表打印，</w:t>
      </w:r>
      <w:r>
        <w:rPr>
          <w:rFonts w:hint="eastAsia" w:ascii="仿宋_GB2312" w:hAnsi="仿宋" w:eastAsia="仿宋_GB2312"/>
          <w:color w:val="auto"/>
          <w:sz w:val="32"/>
          <w:szCs w:val="32"/>
        </w:rPr>
        <w:t>法人校长签字，</w:t>
      </w:r>
      <w:r>
        <w:rPr>
          <w:rFonts w:ascii="仿宋_GB2312" w:hAnsi="仿宋" w:eastAsia="仿宋_GB2312"/>
          <w:color w:val="auto"/>
          <w:sz w:val="32"/>
          <w:szCs w:val="32"/>
        </w:rPr>
        <w:t>加盖学校公章</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省教育厅公章（公章不能是复印件），以快递形式寄至：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（1）中国中学生体育协会乒乓球分会竞赛委员会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地  址：北京市西城区枣林前街111号（北京市第六十六中学）；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邮  编：100053；</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邮  箱：</w:t>
      </w:r>
      <w:r>
        <w:rPr>
          <w:color w:val="auto"/>
        </w:rPr>
        <w:fldChar w:fldCharType="begin"/>
      </w:r>
      <w:r>
        <w:rPr>
          <w:color w:val="auto"/>
        </w:rPr>
        <w:instrText xml:space="preserve"> HYPERLINK "mailto:请把电子版的报名表发至邮箱yanglj22@126.com" </w:instrText>
      </w:r>
      <w:r>
        <w:rPr>
          <w:color w:val="auto"/>
        </w:rPr>
        <w:fldChar w:fldCharType="separate"/>
      </w:r>
      <w:r>
        <w:rPr>
          <w:rFonts w:hint="eastAsia" w:ascii="仿宋_GB2312" w:hAnsi="仿宋" w:eastAsia="仿宋_GB2312"/>
          <w:color w:val="auto"/>
          <w:sz w:val="32"/>
          <w:szCs w:val="32"/>
        </w:rPr>
        <w:t>请把电子版的报名表发至邮箱yanglj22@126.com</w:t>
      </w:r>
      <w:r>
        <w:rPr>
          <w:rFonts w:ascii="仿宋_GB2312" w:hAnsi="仿宋" w:eastAsia="仿宋_GB2312"/>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联系人：杨丽君   15600667031   010-83516438</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lang w:val="en-US" w:eastAsia="zh-CN"/>
        </w:rPr>
        <w:t>九</w:t>
      </w:r>
      <w:r>
        <w:rPr>
          <w:rFonts w:hint="eastAsia" w:ascii="黑体" w:hAnsi="黑体" w:eastAsia="黑体"/>
          <w:color w:val="auto"/>
          <w:sz w:val="32"/>
          <w:szCs w:val="32"/>
        </w:rPr>
        <w:t>、竞赛办法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ascii="楷体_GB2312" w:hAnsi="仿宋" w:eastAsia="楷体_GB2312"/>
          <w:b/>
          <w:color w:val="auto"/>
          <w:sz w:val="32"/>
          <w:szCs w:val="32"/>
        </w:rPr>
      </w:pPr>
      <w:r>
        <w:rPr>
          <w:rFonts w:hint="eastAsia" w:ascii="楷体_GB2312" w:hAnsi="仿宋" w:eastAsia="楷体_GB2312"/>
          <w:b/>
          <w:color w:val="auto"/>
          <w:sz w:val="32"/>
          <w:szCs w:val="32"/>
        </w:rPr>
        <w:t>（一）团体比赛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1、男、女团体赛分两个阶段进行，第一阶段分组循环赛，第二阶段淘汰赛。男、女团体赛均采用五场三胜制，按A-X,B-Y,C-Z,A-Y,B-X顺序进行。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2、比赛采用11分制，五局三胜。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ascii="楷体_GB2312" w:hAnsi="仿宋" w:eastAsia="楷体_GB2312"/>
          <w:b/>
          <w:color w:val="auto"/>
          <w:sz w:val="32"/>
          <w:szCs w:val="32"/>
        </w:rPr>
      </w:pPr>
      <w:r>
        <w:rPr>
          <w:rFonts w:hint="eastAsia" w:ascii="楷体_GB2312" w:hAnsi="仿宋" w:eastAsia="楷体_GB2312"/>
          <w:b/>
          <w:color w:val="auto"/>
          <w:sz w:val="32"/>
          <w:szCs w:val="32"/>
        </w:rPr>
        <w:t>（二）单项比赛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1、单打比赛分两个阶段进行，先分组循环赛，后淘汰附加赛。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2、双打比赛和混合双打比赛采取单淘汰制。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3、单项比赛采用11分制，五局三胜。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ascii="楷体_GB2312" w:hAnsi="仿宋" w:eastAsia="楷体_GB2312"/>
          <w:b/>
          <w:color w:val="auto"/>
          <w:sz w:val="32"/>
          <w:szCs w:val="32"/>
        </w:rPr>
      </w:pPr>
      <w:r>
        <w:rPr>
          <w:rFonts w:hint="eastAsia" w:ascii="楷体_GB2312" w:hAnsi="仿宋" w:eastAsia="楷体_GB2312"/>
          <w:b/>
          <w:color w:val="auto"/>
          <w:sz w:val="32"/>
          <w:szCs w:val="32"/>
        </w:rPr>
        <w:t>（三）比赛使用40+毫米，银河白色球。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ascii="楷体_GB2312" w:hAnsi="仿宋" w:eastAsia="楷体_GB2312"/>
          <w:b/>
          <w:color w:val="auto"/>
          <w:sz w:val="32"/>
          <w:szCs w:val="32"/>
        </w:rPr>
      </w:pPr>
      <w:r>
        <w:rPr>
          <w:rFonts w:hint="eastAsia" w:ascii="楷体_GB2312" w:hAnsi="仿宋" w:eastAsia="楷体_GB2312"/>
          <w:b/>
          <w:color w:val="auto"/>
          <w:sz w:val="32"/>
          <w:szCs w:val="32"/>
        </w:rPr>
        <w:t>（四）比赛执行中国乒乓球协会审定的最新《乒乓球竞赛规则》。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ascii="楷体_GB2312" w:hAnsi="仿宋" w:eastAsia="楷体_GB2312"/>
          <w:b/>
          <w:color w:val="auto"/>
          <w:sz w:val="32"/>
          <w:szCs w:val="32"/>
        </w:rPr>
      </w:pPr>
      <w:r>
        <w:rPr>
          <w:rFonts w:hint="eastAsia" w:ascii="楷体_GB2312" w:hAnsi="仿宋" w:eastAsia="楷体_GB2312"/>
          <w:b/>
          <w:color w:val="auto"/>
          <w:sz w:val="32"/>
          <w:szCs w:val="32"/>
        </w:rPr>
        <w:t>（五）团体种子的确定以上届比赛成绩为依据，单打种子由本届团体名次确定。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ascii="楷体_GB2312" w:hAnsi="仿宋" w:eastAsia="楷体_GB2312"/>
          <w:b/>
          <w:color w:val="auto"/>
          <w:sz w:val="32"/>
          <w:szCs w:val="32"/>
        </w:rPr>
      </w:pPr>
      <w:r>
        <w:rPr>
          <w:rFonts w:hint="eastAsia" w:ascii="楷体_GB2312" w:hAnsi="仿宋" w:eastAsia="楷体_GB2312"/>
          <w:b/>
          <w:color w:val="auto"/>
          <w:sz w:val="32"/>
          <w:szCs w:val="32"/>
        </w:rPr>
        <w:t>（六）比赛期间将对运动员的球拍进行检测。检测不合格不能在比赛中使用，具体办法见（附件</w:t>
      </w:r>
      <w:r>
        <w:rPr>
          <w:rFonts w:hint="eastAsia" w:ascii="楷体_GB2312" w:hAnsi="仿宋" w:eastAsia="楷体_GB2312"/>
          <w:b/>
          <w:color w:val="auto"/>
          <w:sz w:val="32"/>
          <w:szCs w:val="32"/>
          <w:lang w:val="en-US" w:eastAsia="zh-CN"/>
        </w:rPr>
        <w:t>5</w:t>
      </w:r>
      <w:r>
        <w:rPr>
          <w:rFonts w:hint="eastAsia" w:ascii="楷体_GB2312" w:hAnsi="仿宋" w:eastAsia="楷体_GB2312"/>
          <w:b/>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rPr>
        <w:t>十、奖励办法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1、分别录取前八名。对获得团体前三名的运动队颁发奖杯，对获得前八名的运动队颁发成绩证书。单项比赛获得前三名的运动员颁发奖牌，获得前十六名的运动员颁发成绩证书。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2、本届比赛设甲组、乙组团体总分奖，总分前八名的队颁发奖状。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3、本届比赛设体育道德风尚奖和优秀教练员奖。（评选办法另行通知）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val="en-US" w:eastAsia="zh-CN"/>
        </w:rPr>
        <w:t>一</w:t>
      </w:r>
      <w:r>
        <w:rPr>
          <w:rFonts w:hint="eastAsia" w:ascii="黑体" w:hAnsi="黑体" w:eastAsia="黑体"/>
          <w:color w:val="auto"/>
          <w:sz w:val="32"/>
          <w:szCs w:val="32"/>
        </w:rPr>
        <w:t>、报到日期及办法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1、运动队、裁判员报到日期：2017年7月26日16:00前。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2、报到时运动员须携带：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（1）报名表（加盖省教育厅、学校公章）；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（2）学生证原件；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（3）二代身份证原件；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（4）人身意外伤害保险单据；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（5）体检证明。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组委会将统一验证，若证件不全或不符不允许参加比赛。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color w:val="auto"/>
        </w:rPr>
      </w:pPr>
      <w:r>
        <w:rPr>
          <w:rFonts w:hint="eastAsia" w:ascii="黑体" w:hAnsi="黑体" w:eastAsia="黑体"/>
          <w:color w:val="auto"/>
          <w:sz w:val="32"/>
          <w:szCs w:val="32"/>
        </w:rPr>
        <w:t>十</w:t>
      </w:r>
      <w:r>
        <w:rPr>
          <w:rFonts w:hint="eastAsia" w:ascii="黑体" w:hAnsi="黑体" w:eastAsia="黑体"/>
          <w:color w:val="auto"/>
          <w:sz w:val="32"/>
          <w:szCs w:val="32"/>
          <w:lang w:val="en-US" w:eastAsia="zh-CN"/>
        </w:rPr>
        <w:t>二</w:t>
      </w:r>
      <w:r>
        <w:rPr>
          <w:rFonts w:hint="eastAsia" w:ascii="黑体" w:hAnsi="黑体" w:eastAsia="黑体"/>
          <w:color w:val="auto"/>
          <w:sz w:val="32"/>
          <w:szCs w:val="32"/>
        </w:rPr>
        <w:t>、资格审查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一）中国中学生乒乓球锦标赛组委会将设立“资格审查及纪律监督委员会”，既本次比赛对违纪行为进行处罚的最高权力机构，负责对各参赛球队、队员的参赛资格及违规、违纪行为进行监督、检查和处罚工作。对所有参赛运动员的资格问题进行严格的审查“资格审查及纪律监督委员会”对弄虚作假、违反规定者将按照《全国学生体育竞赛纪律处罚规定》予以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（二）2017年7月27日上午举行参赛运动员文化课测试，具体测试细则见附件4；未能达到文化课测试标准的运动员不能参加锦标赛，将另行组织安慰赛。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三）关于对运动员（队）资格问题的申诉。凡对本届中国中学生乒乓球锦标赛参赛运动员（队）的资格问题有异议并提出申诉者，应向资格审查及纪律监督委员会提交《申诉报告书》（须代表队领队签字）及举报内容的证据，双方同时交纳申诉费人民币2000元。待资格审查及纪律监督委员会受理后，如申诉经审查属实，其所缴纳的申诉费将原数退还。经查申诉不符，申诉费将上交中国中学生体育协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资格审查及纪律监督委员会所做的决定、处罚为最终决定。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（四）违反比赛参赛资格条款规定的球员经确认后将被取消本届比赛的参赛资格，其所代表球队将被取消比赛成绩与积分。资格审查及纪律监督委员会并保留进一步追加处罚的权力。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（五）违反比赛纪律的球队或球员，资格审查及纪律监督委员会将依据《全国学生体育竞赛纪律处罚规定》中有关条款对违反资格规定、比赛纪律的运动员（队）予以处罚。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（六）为加强对各参赛队的管理，保证本届比赛的各项工作的顺利进行，各参赛队在比赛期间须交纳“抵押</w:t>
      </w:r>
      <w:bookmarkStart w:id="0" w:name="_GoBack"/>
      <w:bookmarkEnd w:id="0"/>
      <w:r>
        <w:rPr>
          <w:rFonts w:hint="eastAsia" w:ascii="仿宋_GB2312" w:hAnsi="仿宋" w:eastAsia="仿宋_GB2312"/>
          <w:color w:val="auto"/>
          <w:sz w:val="32"/>
          <w:szCs w:val="32"/>
        </w:rPr>
        <w:t>保证金”，具体规定办法如下：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1、各参赛队报名时须交纳“抵押保证金”现金3000元人民币。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2、各运动队所交纳的抵押保证金，用于对该球队所属人员在比赛期间违反比赛纪律、社会治安管理条例，以及违反运动员参赛资格等问题的经济处罚性赔偿。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3、如在本次比赛中未出现任何违规违纪行为，“抵押保证金”将原数返还。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val="en-US" w:eastAsia="zh-CN"/>
        </w:rPr>
        <w:t>三</w:t>
      </w:r>
      <w:r>
        <w:rPr>
          <w:rFonts w:hint="eastAsia" w:ascii="黑体" w:hAnsi="黑体" w:eastAsia="黑体"/>
          <w:color w:val="auto"/>
          <w:sz w:val="32"/>
          <w:szCs w:val="32"/>
        </w:rPr>
        <w:t>、比赛监督、仲裁委员会成员、裁判员的选派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比赛监督、仲裁委员会成员、裁判长1人、副裁判长4人，骨干裁判员10人由主办单位选派。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承办单位可另选派1名副裁判长。裁判员不足部分由承办单位负责聘请（一级以上）。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val="en-US" w:eastAsia="zh-CN"/>
        </w:rPr>
        <w:t>四</w:t>
      </w:r>
      <w:r>
        <w:rPr>
          <w:rFonts w:hint="eastAsia" w:ascii="黑体" w:hAnsi="黑体" w:eastAsia="黑体"/>
          <w:color w:val="auto"/>
          <w:sz w:val="32"/>
          <w:szCs w:val="32"/>
        </w:rPr>
        <w:t>、经费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1、各参赛队差旅费自理。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2</w:t>
      </w:r>
      <w:r>
        <w:rPr>
          <w:rFonts w:ascii="仿宋_GB2312" w:hAnsi="仿宋" w:eastAsia="仿宋_GB2312"/>
          <w:color w:val="auto"/>
          <w:sz w:val="32"/>
          <w:szCs w:val="32"/>
        </w:rPr>
        <w:t>、</w:t>
      </w:r>
      <w:r>
        <w:rPr>
          <w:rFonts w:hint="eastAsia" w:ascii="仿宋_GB2312" w:hAnsi="仿宋" w:eastAsia="仿宋_GB2312"/>
          <w:color w:val="auto"/>
          <w:sz w:val="32"/>
          <w:szCs w:val="32"/>
        </w:rPr>
        <w:t>赛会期间每人每天交纳食宿费170元。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3</w:t>
      </w:r>
      <w:r>
        <w:rPr>
          <w:rFonts w:ascii="仿宋_GB2312" w:hAnsi="仿宋" w:eastAsia="仿宋_GB2312"/>
          <w:color w:val="auto"/>
          <w:sz w:val="32"/>
          <w:szCs w:val="32"/>
        </w:rPr>
        <w:t>、</w:t>
      </w:r>
      <w:r>
        <w:rPr>
          <w:rFonts w:hint="eastAsia" w:ascii="仿宋_GB2312" w:hAnsi="仿宋" w:eastAsia="仿宋_GB2312"/>
          <w:color w:val="auto"/>
          <w:sz w:val="32"/>
          <w:szCs w:val="32"/>
        </w:rPr>
        <w:t>主办单位所选派的技术代表、仲裁委员、裁判长、骨干裁判员的所有费用，均由承办单位承担。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color w:val="auto"/>
        </w:rPr>
      </w:pPr>
      <w:r>
        <w:rPr>
          <w:rFonts w:hint="eastAsia" w:ascii="黑体" w:hAnsi="黑体" w:eastAsia="黑体"/>
          <w:color w:val="auto"/>
          <w:sz w:val="32"/>
          <w:szCs w:val="32"/>
        </w:rPr>
        <w:t>十</w:t>
      </w:r>
      <w:r>
        <w:rPr>
          <w:rFonts w:hint="eastAsia" w:ascii="黑体" w:hAnsi="黑体" w:eastAsia="黑体"/>
          <w:color w:val="auto"/>
          <w:sz w:val="32"/>
          <w:szCs w:val="32"/>
          <w:lang w:val="en-US" w:eastAsia="zh-CN"/>
        </w:rPr>
        <w:t>五</w:t>
      </w:r>
      <w:r>
        <w:rPr>
          <w:rFonts w:hint="eastAsia" w:ascii="黑体" w:hAnsi="黑体" w:eastAsia="黑体"/>
          <w:color w:val="auto"/>
          <w:sz w:val="32"/>
          <w:szCs w:val="32"/>
        </w:rPr>
        <w:t>、其他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1</w:t>
      </w:r>
      <w:r>
        <w:rPr>
          <w:rFonts w:ascii="仿宋_GB2312" w:hAnsi="仿宋" w:eastAsia="仿宋_GB2312"/>
          <w:color w:val="auto"/>
          <w:sz w:val="32"/>
          <w:szCs w:val="32"/>
        </w:rPr>
        <w:t>、</w:t>
      </w:r>
      <w:r>
        <w:rPr>
          <w:rFonts w:hint="eastAsia" w:ascii="仿宋_GB2312" w:hAnsi="仿宋" w:eastAsia="仿宋_GB2312"/>
          <w:color w:val="auto"/>
          <w:sz w:val="32"/>
          <w:szCs w:val="32"/>
        </w:rPr>
        <w:t>本规程解释权属主办单位。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2</w:t>
      </w:r>
      <w:r>
        <w:rPr>
          <w:rFonts w:ascii="仿宋_GB2312" w:hAnsi="仿宋" w:eastAsia="仿宋_GB2312"/>
          <w:color w:val="auto"/>
          <w:sz w:val="32"/>
          <w:szCs w:val="32"/>
        </w:rPr>
        <w:t>、</w:t>
      </w:r>
      <w:r>
        <w:rPr>
          <w:rFonts w:hint="eastAsia" w:ascii="仿宋_GB2312" w:hAnsi="仿宋" w:eastAsia="仿宋_GB2312"/>
          <w:color w:val="auto"/>
          <w:sz w:val="32"/>
          <w:szCs w:val="32"/>
        </w:rPr>
        <w:t>本规程未尽事宜，另行通知。</w:t>
      </w:r>
    </w:p>
    <w:p>
      <w:pPr>
        <w:widowControl/>
        <w:jc w:val="left"/>
        <w:rPr>
          <w:rFonts w:ascii="仿宋_GB2312" w:hAnsi="仿宋" w:eastAsia="仿宋_GB2312"/>
          <w:color w:val="auto"/>
          <w:sz w:val="32"/>
          <w:szCs w:val="32"/>
        </w:rPr>
      </w:pPr>
      <w:r>
        <w:rPr>
          <w:rFonts w:ascii="仿宋_GB2312" w:hAnsi="仿宋" w:eastAsia="仿宋_GB2312"/>
          <w:color w:val="auto"/>
          <w:sz w:val="32"/>
          <w:szCs w:val="32"/>
        </w:rPr>
        <w:br w:type="page"/>
      </w:r>
    </w:p>
    <w:p>
      <w:pPr>
        <w:rPr>
          <w:rFonts w:ascii="黑体" w:hAnsi="华文中宋" w:eastAsia="黑体"/>
          <w:color w:val="auto"/>
          <w:sz w:val="28"/>
          <w:szCs w:val="28"/>
        </w:rPr>
      </w:pPr>
      <w:r>
        <w:rPr>
          <w:rFonts w:hint="eastAsia" w:ascii="黑体" w:hAnsi="华文中宋" w:eastAsia="黑体"/>
          <w:color w:val="auto"/>
          <w:sz w:val="28"/>
          <w:szCs w:val="28"/>
        </w:rPr>
        <w:t>附件2：</w:t>
      </w:r>
    </w:p>
    <w:p>
      <w:pPr>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第十八届中国中学生乒乓球锦标赛报名表</w:t>
      </w:r>
    </w:p>
    <w:p>
      <w:pPr>
        <w:rPr>
          <w:rFonts w:ascii="宋体" w:hAnsi="宋体"/>
          <w:color w:val="auto"/>
          <w:sz w:val="28"/>
          <w:szCs w:val="28"/>
          <w:u w:val="single"/>
        </w:rPr>
      </w:pPr>
      <w:r>
        <w:rPr>
          <w:rFonts w:hint="eastAsia" w:ascii="宋体" w:hAnsi="宋体"/>
          <w:color w:val="auto"/>
          <w:sz w:val="28"/>
          <w:szCs w:val="28"/>
        </w:rPr>
        <w:t>报名单位</w:t>
      </w:r>
      <w:r>
        <w:rPr>
          <w:rFonts w:hint="eastAsia" w:ascii="宋体" w:hAnsi="宋体"/>
          <w:color w:val="auto"/>
          <w:sz w:val="28"/>
          <w:szCs w:val="28"/>
        </w:rPr>
        <w:t>（</w:t>
      </w:r>
      <w:r>
        <w:rPr>
          <w:rFonts w:hint="eastAsia" w:ascii="宋体" w:hAnsi="宋体"/>
          <w:color w:val="auto"/>
          <w:sz w:val="28"/>
          <w:szCs w:val="28"/>
          <w:lang w:val="en-US" w:eastAsia="zh-CN"/>
        </w:rPr>
        <w:t>加盖省教育厅</w:t>
      </w:r>
      <w:r>
        <w:rPr>
          <w:rFonts w:hint="eastAsia" w:ascii="宋体" w:hAnsi="宋体"/>
          <w:color w:val="auto"/>
          <w:sz w:val="28"/>
          <w:szCs w:val="28"/>
        </w:rPr>
        <w:t>公章）</w:t>
      </w:r>
      <w:r>
        <w:rPr>
          <w:rFonts w:hint="eastAsia" w:ascii="宋体" w:hAnsi="宋体"/>
          <w:color w:val="auto"/>
          <w:sz w:val="28"/>
          <w:szCs w:val="28"/>
        </w:rPr>
        <w:t xml:space="preserve">： </w:t>
      </w:r>
      <w:r>
        <w:rPr>
          <w:rFonts w:hint="eastAsia" w:ascii="宋体" w:hAnsi="宋体"/>
          <w:color w:val="auto"/>
          <w:sz w:val="28"/>
          <w:szCs w:val="28"/>
          <w:u w:val="single"/>
        </w:rPr>
        <w:t xml:space="preserve">                     </w:t>
      </w:r>
      <w:r>
        <w:rPr>
          <w:rFonts w:hint="eastAsia" w:ascii="宋体" w:hAnsi="宋体"/>
          <w:color w:val="auto"/>
          <w:sz w:val="28"/>
          <w:szCs w:val="28"/>
        </w:rPr>
        <w:t>组别：</w:t>
      </w:r>
      <w:r>
        <w:rPr>
          <w:rFonts w:hint="eastAsia" w:ascii="宋体" w:hAnsi="宋体"/>
          <w:color w:val="auto"/>
          <w:sz w:val="28"/>
          <w:szCs w:val="28"/>
          <w:u w:val="single"/>
        </w:rPr>
        <w:t xml:space="preserve">              </w:t>
      </w:r>
    </w:p>
    <w:p>
      <w:pPr>
        <w:rPr>
          <w:rFonts w:ascii="宋体" w:hAnsi="宋体"/>
          <w:color w:val="auto"/>
          <w:sz w:val="28"/>
          <w:szCs w:val="28"/>
          <w:u w:val="single"/>
        </w:rPr>
      </w:pPr>
      <w:r>
        <w:rPr>
          <w:rFonts w:hint="eastAsia" w:ascii="宋体" w:hAnsi="宋体"/>
          <w:color w:val="auto"/>
          <w:sz w:val="28"/>
          <w:szCs w:val="28"/>
        </w:rPr>
        <w:t>领队：</w:t>
      </w:r>
      <w:r>
        <w:rPr>
          <w:rFonts w:hint="eastAsia" w:ascii="宋体" w:hAnsi="宋体"/>
          <w:color w:val="auto"/>
          <w:sz w:val="28"/>
          <w:szCs w:val="28"/>
          <w:u w:val="single"/>
        </w:rPr>
        <w:t xml:space="preserve">          </w:t>
      </w:r>
      <w:r>
        <w:rPr>
          <w:rFonts w:hint="eastAsia" w:ascii="宋体" w:hAnsi="宋体"/>
          <w:color w:val="auto"/>
          <w:sz w:val="28"/>
          <w:szCs w:val="28"/>
        </w:rPr>
        <w:t>教练：</w:t>
      </w:r>
      <w:r>
        <w:rPr>
          <w:rFonts w:hint="eastAsia" w:ascii="宋体" w:hAnsi="宋体"/>
          <w:color w:val="auto"/>
          <w:sz w:val="28"/>
          <w:szCs w:val="28"/>
          <w:u w:val="single"/>
        </w:rPr>
        <w:t xml:space="preserve">         </w:t>
      </w:r>
      <w:r>
        <w:rPr>
          <w:rFonts w:hint="eastAsia" w:ascii="宋体" w:hAnsi="宋体"/>
          <w:color w:val="auto"/>
          <w:sz w:val="28"/>
          <w:szCs w:val="28"/>
        </w:rPr>
        <w:t>电话：</w:t>
      </w:r>
      <w:r>
        <w:rPr>
          <w:rFonts w:hint="eastAsia" w:ascii="宋体" w:hAnsi="宋体"/>
          <w:color w:val="auto"/>
          <w:sz w:val="28"/>
          <w:szCs w:val="28"/>
          <w:u w:val="single"/>
        </w:rPr>
        <w:t xml:space="preserve">           </w:t>
      </w:r>
      <w:r>
        <w:rPr>
          <w:rFonts w:hint="eastAsia" w:ascii="宋体" w:hAnsi="宋体"/>
          <w:color w:val="auto"/>
          <w:sz w:val="28"/>
          <w:szCs w:val="28"/>
        </w:rPr>
        <w:t>邮箱：</w:t>
      </w:r>
      <w:r>
        <w:rPr>
          <w:rFonts w:hint="eastAsia" w:ascii="宋体" w:hAnsi="宋体"/>
          <w:color w:val="auto"/>
          <w:sz w:val="28"/>
          <w:szCs w:val="28"/>
          <w:u w:val="single"/>
        </w:rPr>
        <w:t xml:space="preserve">            </w:t>
      </w:r>
    </w:p>
    <w:tbl>
      <w:tblPr>
        <w:tblStyle w:val="9"/>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40"/>
        <w:gridCol w:w="1260"/>
        <w:gridCol w:w="720"/>
        <w:gridCol w:w="720"/>
        <w:gridCol w:w="1620"/>
        <w:gridCol w:w="18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tcBorders>
              <w:top w:val="double" w:color="auto" w:sz="4" w:space="0"/>
              <w:left w:val="double" w:color="auto" w:sz="4" w:space="0"/>
            </w:tcBorders>
            <w:vAlign w:val="center"/>
          </w:tcPr>
          <w:p>
            <w:pPr>
              <w:jc w:val="center"/>
              <w:rPr>
                <w:rFonts w:ascii="宋体" w:hAnsi="宋体"/>
                <w:color w:val="auto"/>
                <w:sz w:val="28"/>
                <w:szCs w:val="28"/>
              </w:rPr>
            </w:pPr>
            <w:r>
              <w:rPr>
                <w:rFonts w:hint="eastAsia" w:ascii="宋体" w:hAnsi="宋体"/>
                <w:color w:val="auto"/>
                <w:sz w:val="28"/>
                <w:szCs w:val="28"/>
              </w:rPr>
              <w:t>男队报名</w:t>
            </w:r>
          </w:p>
        </w:tc>
        <w:tc>
          <w:tcPr>
            <w:tcW w:w="540" w:type="dxa"/>
            <w:vMerge w:val="restart"/>
            <w:tcBorders>
              <w:top w:val="double" w:color="auto" w:sz="4" w:space="0"/>
            </w:tcBorders>
            <w:vAlign w:val="center"/>
          </w:tcPr>
          <w:p>
            <w:pPr>
              <w:jc w:val="center"/>
              <w:rPr>
                <w:rFonts w:ascii="宋体" w:hAnsi="宋体"/>
                <w:color w:val="auto"/>
                <w:sz w:val="28"/>
                <w:szCs w:val="28"/>
              </w:rPr>
            </w:pPr>
            <w:r>
              <w:rPr>
                <w:rFonts w:hint="eastAsia" w:ascii="宋体" w:hAnsi="宋体"/>
                <w:color w:val="auto"/>
                <w:sz w:val="28"/>
                <w:szCs w:val="28"/>
              </w:rPr>
              <w:t>序号</w:t>
            </w:r>
          </w:p>
        </w:tc>
        <w:tc>
          <w:tcPr>
            <w:tcW w:w="1260" w:type="dxa"/>
            <w:vMerge w:val="restart"/>
            <w:tcBorders>
              <w:top w:val="double" w:color="auto" w:sz="4" w:space="0"/>
            </w:tcBorders>
            <w:vAlign w:val="center"/>
          </w:tcPr>
          <w:p>
            <w:pPr>
              <w:jc w:val="center"/>
              <w:rPr>
                <w:rFonts w:ascii="宋体" w:hAnsi="宋体"/>
                <w:color w:val="auto"/>
                <w:sz w:val="28"/>
                <w:szCs w:val="28"/>
              </w:rPr>
            </w:pPr>
            <w:r>
              <w:rPr>
                <w:rFonts w:hint="eastAsia" w:ascii="宋体" w:hAnsi="宋体"/>
                <w:color w:val="auto"/>
                <w:sz w:val="28"/>
                <w:szCs w:val="28"/>
              </w:rPr>
              <w:t>运动员</w:t>
            </w:r>
          </w:p>
          <w:p>
            <w:pPr>
              <w:jc w:val="center"/>
              <w:rPr>
                <w:rFonts w:ascii="宋体" w:hAnsi="宋体"/>
                <w:color w:val="auto"/>
                <w:sz w:val="28"/>
                <w:szCs w:val="28"/>
              </w:rPr>
            </w:pPr>
            <w:r>
              <w:rPr>
                <w:rFonts w:hint="eastAsia" w:ascii="宋体" w:hAnsi="宋体"/>
                <w:color w:val="auto"/>
                <w:sz w:val="28"/>
                <w:szCs w:val="28"/>
              </w:rPr>
              <w:t>姓  名</w:t>
            </w:r>
          </w:p>
        </w:tc>
        <w:tc>
          <w:tcPr>
            <w:tcW w:w="4860" w:type="dxa"/>
            <w:gridSpan w:val="4"/>
            <w:tcBorders>
              <w:top w:val="double" w:color="auto" w:sz="4" w:space="0"/>
            </w:tcBorders>
            <w:vAlign w:val="center"/>
          </w:tcPr>
          <w:p>
            <w:pPr>
              <w:jc w:val="center"/>
              <w:rPr>
                <w:rFonts w:ascii="宋体" w:hAnsi="宋体"/>
                <w:color w:val="auto"/>
                <w:sz w:val="28"/>
                <w:szCs w:val="28"/>
              </w:rPr>
            </w:pPr>
            <w:r>
              <w:rPr>
                <w:rFonts w:hint="eastAsia" w:ascii="宋体" w:hAnsi="宋体"/>
                <w:color w:val="auto"/>
                <w:sz w:val="28"/>
                <w:szCs w:val="28"/>
              </w:rPr>
              <w:t>报名项目及双打配对队员姓名</w:t>
            </w:r>
          </w:p>
        </w:tc>
        <w:tc>
          <w:tcPr>
            <w:tcW w:w="2340" w:type="dxa"/>
            <w:vMerge w:val="restart"/>
            <w:tcBorders>
              <w:top w:val="double" w:color="auto" w:sz="4" w:space="0"/>
              <w:right w:val="double" w:color="auto" w:sz="4" w:space="0"/>
            </w:tcBorders>
            <w:vAlign w:val="center"/>
          </w:tcPr>
          <w:p>
            <w:pPr>
              <w:jc w:val="center"/>
              <w:rPr>
                <w:rFonts w:ascii="宋体" w:hAnsi="宋体"/>
                <w:color w:val="auto"/>
                <w:sz w:val="28"/>
                <w:szCs w:val="28"/>
              </w:rPr>
            </w:pPr>
            <w:r>
              <w:rPr>
                <w:rFonts w:hint="eastAsia" w:ascii="宋体" w:hAnsi="宋体"/>
                <w:color w:val="auto"/>
                <w:sz w:val="28"/>
                <w:szCs w:val="2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left w:val="double" w:color="auto" w:sz="4" w:space="0"/>
            </w:tcBorders>
            <w:vAlign w:val="center"/>
          </w:tcPr>
          <w:p>
            <w:pPr>
              <w:jc w:val="center"/>
              <w:rPr>
                <w:rFonts w:ascii="宋体" w:hAnsi="宋体"/>
                <w:color w:val="auto"/>
                <w:sz w:val="28"/>
                <w:szCs w:val="28"/>
              </w:rPr>
            </w:pPr>
          </w:p>
        </w:tc>
        <w:tc>
          <w:tcPr>
            <w:tcW w:w="540" w:type="dxa"/>
            <w:vMerge w:val="continue"/>
            <w:tcBorders>
              <w:bottom w:val="double" w:color="auto" w:sz="4" w:space="0"/>
            </w:tcBorders>
            <w:vAlign w:val="center"/>
          </w:tcPr>
          <w:p>
            <w:pPr>
              <w:jc w:val="center"/>
              <w:rPr>
                <w:rFonts w:ascii="宋体" w:hAnsi="宋体"/>
                <w:color w:val="auto"/>
                <w:sz w:val="28"/>
                <w:szCs w:val="28"/>
              </w:rPr>
            </w:pPr>
          </w:p>
        </w:tc>
        <w:tc>
          <w:tcPr>
            <w:tcW w:w="1260" w:type="dxa"/>
            <w:vMerge w:val="continue"/>
            <w:tcBorders>
              <w:bottom w:val="double" w:color="auto" w:sz="4" w:space="0"/>
            </w:tcBorders>
            <w:vAlign w:val="center"/>
          </w:tcPr>
          <w:p>
            <w:pPr>
              <w:jc w:val="center"/>
              <w:rPr>
                <w:rFonts w:ascii="宋体" w:hAnsi="宋体"/>
                <w:color w:val="auto"/>
                <w:sz w:val="28"/>
                <w:szCs w:val="28"/>
              </w:rPr>
            </w:pPr>
          </w:p>
        </w:tc>
        <w:tc>
          <w:tcPr>
            <w:tcW w:w="720" w:type="dxa"/>
            <w:tcBorders>
              <w:bottom w:val="double" w:color="auto" w:sz="4" w:space="0"/>
            </w:tcBorders>
            <w:vAlign w:val="center"/>
          </w:tcPr>
          <w:p>
            <w:pPr>
              <w:jc w:val="center"/>
              <w:rPr>
                <w:rFonts w:ascii="宋体" w:hAnsi="宋体"/>
                <w:color w:val="auto"/>
                <w:szCs w:val="21"/>
              </w:rPr>
            </w:pPr>
            <w:r>
              <w:rPr>
                <w:rFonts w:hint="eastAsia" w:ascii="宋体" w:hAnsi="宋体"/>
                <w:color w:val="auto"/>
                <w:szCs w:val="21"/>
              </w:rPr>
              <w:t>男</w:t>
            </w:r>
          </w:p>
          <w:p>
            <w:pPr>
              <w:jc w:val="center"/>
              <w:rPr>
                <w:rFonts w:ascii="宋体" w:hAnsi="宋体"/>
                <w:color w:val="auto"/>
                <w:szCs w:val="21"/>
              </w:rPr>
            </w:pPr>
            <w:r>
              <w:rPr>
                <w:rFonts w:hint="eastAsia" w:ascii="宋体" w:hAnsi="宋体"/>
                <w:color w:val="auto"/>
                <w:szCs w:val="21"/>
              </w:rPr>
              <w:t>团</w:t>
            </w:r>
          </w:p>
        </w:tc>
        <w:tc>
          <w:tcPr>
            <w:tcW w:w="720" w:type="dxa"/>
            <w:tcBorders>
              <w:bottom w:val="double" w:color="auto" w:sz="4" w:space="0"/>
            </w:tcBorders>
            <w:vAlign w:val="center"/>
          </w:tcPr>
          <w:p>
            <w:pPr>
              <w:jc w:val="center"/>
              <w:rPr>
                <w:rFonts w:ascii="宋体" w:hAnsi="宋体"/>
                <w:color w:val="auto"/>
                <w:szCs w:val="21"/>
              </w:rPr>
            </w:pPr>
            <w:r>
              <w:rPr>
                <w:rFonts w:hint="eastAsia" w:ascii="宋体" w:hAnsi="宋体"/>
                <w:color w:val="auto"/>
                <w:szCs w:val="21"/>
              </w:rPr>
              <w:t>男</w:t>
            </w:r>
          </w:p>
          <w:p>
            <w:pPr>
              <w:jc w:val="center"/>
              <w:rPr>
                <w:rFonts w:ascii="宋体" w:hAnsi="宋体"/>
                <w:color w:val="auto"/>
                <w:szCs w:val="21"/>
              </w:rPr>
            </w:pPr>
            <w:r>
              <w:rPr>
                <w:rFonts w:hint="eastAsia" w:ascii="宋体" w:hAnsi="宋体"/>
                <w:color w:val="auto"/>
                <w:szCs w:val="21"/>
              </w:rPr>
              <w:t>单</w:t>
            </w:r>
          </w:p>
        </w:tc>
        <w:tc>
          <w:tcPr>
            <w:tcW w:w="1620" w:type="dxa"/>
            <w:tcBorders>
              <w:bottom w:val="double" w:color="auto" w:sz="4" w:space="0"/>
            </w:tcBorders>
            <w:vAlign w:val="center"/>
          </w:tcPr>
          <w:p>
            <w:pPr>
              <w:jc w:val="center"/>
              <w:rPr>
                <w:rFonts w:ascii="宋体" w:hAnsi="宋体"/>
                <w:color w:val="auto"/>
                <w:szCs w:val="21"/>
              </w:rPr>
            </w:pPr>
            <w:r>
              <w:rPr>
                <w:rFonts w:hint="eastAsia" w:ascii="宋体" w:hAnsi="宋体"/>
                <w:color w:val="auto"/>
                <w:szCs w:val="21"/>
              </w:rPr>
              <w:t>男  双</w:t>
            </w:r>
          </w:p>
          <w:p>
            <w:pPr>
              <w:jc w:val="center"/>
              <w:rPr>
                <w:rFonts w:ascii="宋体" w:hAnsi="宋体"/>
                <w:color w:val="auto"/>
                <w:szCs w:val="21"/>
              </w:rPr>
            </w:pPr>
            <w:r>
              <w:rPr>
                <w:rFonts w:hint="eastAsia" w:ascii="宋体" w:hAnsi="宋体"/>
                <w:color w:val="auto"/>
                <w:szCs w:val="21"/>
              </w:rPr>
              <w:t>配对队员</w:t>
            </w:r>
          </w:p>
        </w:tc>
        <w:tc>
          <w:tcPr>
            <w:tcW w:w="1800" w:type="dxa"/>
            <w:tcBorders>
              <w:bottom w:val="double" w:color="auto" w:sz="4" w:space="0"/>
            </w:tcBorders>
            <w:vAlign w:val="center"/>
          </w:tcPr>
          <w:p>
            <w:pPr>
              <w:jc w:val="center"/>
              <w:rPr>
                <w:rFonts w:ascii="宋体" w:hAnsi="宋体"/>
                <w:color w:val="auto"/>
                <w:szCs w:val="21"/>
              </w:rPr>
            </w:pPr>
            <w:r>
              <w:rPr>
                <w:rFonts w:hint="eastAsia" w:ascii="宋体" w:hAnsi="宋体"/>
                <w:color w:val="auto"/>
                <w:szCs w:val="21"/>
              </w:rPr>
              <w:t>混  双</w:t>
            </w:r>
          </w:p>
          <w:p>
            <w:pPr>
              <w:jc w:val="center"/>
              <w:rPr>
                <w:rFonts w:ascii="宋体" w:hAnsi="宋体"/>
                <w:color w:val="auto"/>
                <w:szCs w:val="21"/>
              </w:rPr>
            </w:pPr>
            <w:r>
              <w:rPr>
                <w:rFonts w:hint="eastAsia" w:ascii="宋体" w:hAnsi="宋体"/>
                <w:color w:val="auto"/>
                <w:szCs w:val="21"/>
              </w:rPr>
              <w:t>配对队员</w:t>
            </w:r>
          </w:p>
        </w:tc>
        <w:tc>
          <w:tcPr>
            <w:tcW w:w="2340" w:type="dxa"/>
            <w:vMerge w:val="continue"/>
            <w:tcBorders>
              <w:bottom w:val="double" w:color="auto" w:sz="4" w:space="0"/>
              <w:right w:val="double" w:color="auto" w:sz="4" w:space="0"/>
            </w:tcBorders>
            <w:vAlign w:val="center"/>
          </w:tcPr>
          <w:p>
            <w:pPr>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left w:val="double" w:color="auto" w:sz="4" w:space="0"/>
            </w:tcBorders>
            <w:vAlign w:val="center"/>
          </w:tcPr>
          <w:p>
            <w:pPr>
              <w:jc w:val="center"/>
              <w:rPr>
                <w:rFonts w:ascii="宋体" w:hAnsi="宋体"/>
                <w:color w:val="auto"/>
                <w:sz w:val="28"/>
                <w:szCs w:val="28"/>
              </w:rPr>
            </w:pPr>
          </w:p>
        </w:tc>
        <w:tc>
          <w:tcPr>
            <w:tcW w:w="540" w:type="dxa"/>
            <w:tcBorders>
              <w:top w:val="double" w:color="auto" w:sz="4" w:space="0"/>
            </w:tcBorders>
            <w:vAlign w:val="center"/>
          </w:tcPr>
          <w:p>
            <w:pPr>
              <w:jc w:val="center"/>
              <w:rPr>
                <w:rFonts w:ascii="宋体" w:hAnsi="宋体"/>
                <w:color w:val="auto"/>
                <w:sz w:val="28"/>
                <w:szCs w:val="28"/>
              </w:rPr>
            </w:pPr>
            <w:r>
              <w:rPr>
                <w:rFonts w:hint="eastAsia" w:ascii="宋体" w:hAnsi="宋体"/>
                <w:color w:val="auto"/>
                <w:sz w:val="28"/>
                <w:szCs w:val="28"/>
              </w:rPr>
              <w:t>1</w:t>
            </w:r>
          </w:p>
        </w:tc>
        <w:tc>
          <w:tcPr>
            <w:tcW w:w="1260" w:type="dxa"/>
            <w:tcBorders>
              <w:top w:val="double" w:color="auto" w:sz="4" w:space="0"/>
            </w:tcBorders>
            <w:vAlign w:val="center"/>
          </w:tcPr>
          <w:p>
            <w:pPr>
              <w:jc w:val="center"/>
              <w:rPr>
                <w:rFonts w:ascii="宋体" w:hAnsi="宋体"/>
                <w:color w:val="auto"/>
                <w:sz w:val="28"/>
                <w:szCs w:val="28"/>
              </w:rPr>
            </w:pPr>
          </w:p>
        </w:tc>
        <w:tc>
          <w:tcPr>
            <w:tcW w:w="720" w:type="dxa"/>
            <w:tcBorders>
              <w:top w:val="double" w:color="auto" w:sz="4" w:space="0"/>
            </w:tcBorders>
            <w:vAlign w:val="center"/>
          </w:tcPr>
          <w:p>
            <w:pPr>
              <w:jc w:val="center"/>
              <w:rPr>
                <w:rFonts w:ascii="宋体" w:hAnsi="宋体"/>
                <w:color w:val="auto"/>
                <w:sz w:val="32"/>
                <w:szCs w:val="32"/>
              </w:rPr>
            </w:pPr>
          </w:p>
        </w:tc>
        <w:tc>
          <w:tcPr>
            <w:tcW w:w="720" w:type="dxa"/>
            <w:tcBorders>
              <w:top w:val="double" w:color="auto" w:sz="4" w:space="0"/>
            </w:tcBorders>
            <w:vAlign w:val="center"/>
          </w:tcPr>
          <w:p>
            <w:pPr>
              <w:jc w:val="center"/>
              <w:rPr>
                <w:rFonts w:ascii="宋体" w:hAnsi="宋体"/>
                <w:color w:val="auto"/>
                <w:sz w:val="28"/>
                <w:szCs w:val="28"/>
              </w:rPr>
            </w:pPr>
          </w:p>
        </w:tc>
        <w:tc>
          <w:tcPr>
            <w:tcW w:w="1620" w:type="dxa"/>
            <w:vMerge w:val="restart"/>
            <w:tcBorders>
              <w:top w:val="double" w:color="auto" w:sz="4" w:space="0"/>
            </w:tcBorders>
            <w:vAlign w:val="center"/>
          </w:tcPr>
          <w:p>
            <w:pPr>
              <w:jc w:val="center"/>
              <w:rPr>
                <w:rFonts w:ascii="宋体" w:hAnsi="宋体"/>
                <w:color w:val="auto"/>
                <w:sz w:val="28"/>
                <w:szCs w:val="28"/>
              </w:rPr>
            </w:pPr>
          </w:p>
        </w:tc>
        <w:tc>
          <w:tcPr>
            <w:tcW w:w="1800" w:type="dxa"/>
            <w:vMerge w:val="restart"/>
            <w:tcBorders>
              <w:top w:val="double" w:color="auto" w:sz="4" w:space="0"/>
            </w:tcBorders>
            <w:vAlign w:val="center"/>
          </w:tcPr>
          <w:p>
            <w:pPr>
              <w:jc w:val="center"/>
              <w:rPr>
                <w:rFonts w:ascii="宋体" w:hAnsi="宋体"/>
                <w:color w:val="auto"/>
                <w:sz w:val="28"/>
                <w:szCs w:val="28"/>
              </w:rPr>
            </w:pPr>
          </w:p>
        </w:tc>
        <w:tc>
          <w:tcPr>
            <w:tcW w:w="2340" w:type="dxa"/>
            <w:tcBorders>
              <w:top w:val="double" w:color="auto" w:sz="4" w:space="0"/>
              <w:right w:val="double" w:color="auto" w:sz="4" w:space="0"/>
            </w:tcBorders>
            <w:vAlign w:val="center"/>
          </w:tcPr>
          <w:p>
            <w:pPr>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left w:val="double" w:color="auto" w:sz="4" w:space="0"/>
            </w:tcBorders>
            <w:vAlign w:val="center"/>
          </w:tcPr>
          <w:p>
            <w:pPr>
              <w:jc w:val="center"/>
              <w:rPr>
                <w:rFonts w:ascii="宋体" w:hAnsi="宋体"/>
                <w:color w:val="auto"/>
                <w:sz w:val="28"/>
                <w:szCs w:val="28"/>
              </w:rPr>
            </w:pPr>
          </w:p>
        </w:tc>
        <w:tc>
          <w:tcPr>
            <w:tcW w:w="540" w:type="dxa"/>
            <w:vAlign w:val="center"/>
          </w:tcPr>
          <w:p>
            <w:pPr>
              <w:jc w:val="center"/>
              <w:rPr>
                <w:rFonts w:ascii="宋体" w:hAnsi="宋体"/>
                <w:color w:val="auto"/>
                <w:sz w:val="28"/>
                <w:szCs w:val="28"/>
              </w:rPr>
            </w:pPr>
            <w:r>
              <w:rPr>
                <w:rFonts w:hint="eastAsia" w:ascii="宋体" w:hAnsi="宋体"/>
                <w:color w:val="auto"/>
                <w:sz w:val="28"/>
                <w:szCs w:val="28"/>
              </w:rPr>
              <w:t>2</w:t>
            </w:r>
          </w:p>
        </w:tc>
        <w:tc>
          <w:tcPr>
            <w:tcW w:w="1260" w:type="dxa"/>
            <w:vAlign w:val="center"/>
          </w:tcPr>
          <w:p>
            <w:pPr>
              <w:jc w:val="center"/>
              <w:rPr>
                <w:rFonts w:ascii="宋体" w:hAnsi="宋体"/>
                <w:color w:val="auto"/>
                <w:sz w:val="28"/>
                <w:szCs w:val="28"/>
              </w:rPr>
            </w:pPr>
          </w:p>
        </w:tc>
        <w:tc>
          <w:tcPr>
            <w:tcW w:w="720" w:type="dxa"/>
            <w:vAlign w:val="center"/>
          </w:tcPr>
          <w:p>
            <w:pPr>
              <w:jc w:val="center"/>
              <w:rPr>
                <w:rFonts w:ascii="宋体" w:hAnsi="宋体"/>
                <w:color w:val="auto"/>
                <w:sz w:val="28"/>
                <w:szCs w:val="28"/>
              </w:rPr>
            </w:pPr>
          </w:p>
        </w:tc>
        <w:tc>
          <w:tcPr>
            <w:tcW w:w="720" w:type="dxa"/>
            <w:vAlign w:val="center"/>
          </w:tcPr>
          <w:p>
            <w:pPr>
              <w:jc w:val="center"/>
              <w:rPr>
                <w:rFonts w:ascii="宋体" w:hAnsi="宋体"/>
                <w:color w:val="auto"/>
                <w:sz w:val="28"/>
                <w:szCs w:val="28"/>
              </w:rPr>
            </w:pPr>
          </w:p>
        </w:tc>
        <w:tc>
          <w:tcPr>
            <w:tcW w:w="1620" w:type="dxa"/>
            <w:vMerge w:val="continue"/>
            <w:vAlign w:val="center"/>
          </w:tcPr>
          <w:p>
            <w:pPr>
              <w:jc w:val="center"/>
              <w:rPr>
                <w:rFonts w:ascii="宋体" w:hAnsi="宋体"/>
                <w:color w:val="auto"/>
                <w:sz w:val="28"/>
                <w:szCs w:val="28"/>
              </w:rPr>
            </w:pPr>
          </w:p>
        </w:tc>
        <w:tc>
          <w:tcPr>
            <w:tcW w:w="1800" w:type="dxa"/>
            <w:vMerge w:val="continue"/>
            <w:vAlign w:val="center"/>
          </w:tcPr>
          <w:p>
            <w:pPr>
              <w:jc w:val="center"/>
              <w:rPr>
                <w:rFonts w:ascii="宋体" w:hAnsi="宋体"/>
                <w:color w:val="auto"/>
                <w:sz w:val="28"/>
                <w:szCs w:val="28"/>
              </w:rPr>
            </w:pPr>
          </w:p>
        </w:tc>
        <w:tc>
          <w:tcPr>
            <w:tcW w:w="2340" w:type="dxa"/>
            <w:tcBorders>
              <w:right w:val="double" w:color="auto" w:sz="4" w:space="0"/>
            </w:tcBorders>
            <w:vAlign w:val="center"/>
          </w:tcPr>
          <w:p>
            <w:pPr>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left w:val="double" w:color="auto" w:sz="4" w:space="0"/>
            </w:tcBorders>
            <w:vAlign w:val="center"/>
          </w:tcPr>
          <w:p>
            <w:pPr>
              <w:jc w:val="center"/>
              <w:rPr>
                <w:rFonts w:ascii="宋体" w:hAnsi="宋体"/>
                <w:color w:val="auto"/>
                <w:sz w:val="28"/>
                <w:szCs w:val="28"/>
              </w:rPr>
            </w:pPr>
          </w:p>
        </w:tc>
        <w:tc>
          <w:tcPr>
            <w:tcW w:w="540" w:type="dxa"/>
            <w:tcBorders>
              <w:bottom w:val="single" w:color="auto" w:sz="4" w:space="0"/>
            </w:tcBorders>
            <w:vAlign w:val="center"/>
          </w:tcPr>
          <w:p>
            <w:pPr>
              <w:jc w:val="center"/>
              <w:rPr>
                <w:rFonts w:ascii="宋体" w:hAnsi="宋体"/>
                <w:color w:val="auto"/>
                <w:sz w:val="28"/>
                <w:szCs w:val="28"/>
              </w:rPr>
            </w:pPr>
            <w:r>
              <w:rPr>
                <w:rFonts w:hint="eastAsia" w:ascii="宋体" w:hAnsi="宋体"/>
                <w:color w:val="auto"/>
                <w:sz w:val="28"/>
                <w:szCs w:val="28"/>
              </w:rPr>
              <w:t>3</w:t>
            </w:r>
          </w:p>
        </w:tc>
        <w:tc>
          <w:tcPr>
            <w:tcW w:w="1260" w:type="dxa"/>
            <w:tcBorders>
              <w:bottom w:val="single" w:color="auto" w:sz="4" w:space="0"/>
            </w:tcBorders>
            <w:vAlign w:val="center"/>
          </w:tcPr>
          <w:p>
            <w:pPr>
              <w:jc w:val="center"/>
              <w:rPr>
                <w:rFonts w:ascii="宋体" w:hAnsi="宋体"/>
                <w:color w:val="auto"/>
                <w:sz w:val="28"/>
                <w:szCs w:val="28"/>
              </w:rPr>
            </w:pPr>
          </w:p>
        </w:tc>
        <w:tc>
          <w:tcPr>
            <w:tcW w:w="720" w:type="dxa"/>
            <w:tcBorders>
              <w:bottom w:val="single" w:color="auto" w:sz="4" w:space="0"/>
            </w:tcBorders>
            <w:vAlign w:val="center"/>
          </w:tcPr>
          <w:p>
            <w:pPr>
              <w:jc w:val="center"/>
              <w:rPr>
                <w:rFonts w:ascii="宋体" w:hAnsi="宋体"/>
                <w:color w:val="auto"/>
                <w:sz w:val="28"/>
                <w:szCs w:val="28"/>
              </w:rPr>
            </w:pPr>
          </w:p>
        </w:tc>
        <w:tc>
          <w:tcPr>
            <w:tcW w:w="720" w:type="dxa"/>
            <w:tcBorders>
              <w:bottom w:val="single" w:color="auto" w:sz="4" w:space="0"/>
            </w:tcBorders>
            <w:vAlign w:val="center"/>
          </w:tcPr>
          <w:p>
            <w:pPr>
              <w:jc w:val="center"/>
              <w:rPr>
                <w:rFonts w:ascii="宋体" w:hAnsi="宋体"/>
                <w:color w:val="auto"/>
                <w:sz w:val="28"/>
                <w:szCs w:val="28"/>
              </w:rPr>
            </w:pPr>
          </w:p>
        </w:tc>
        <w:tc>
          <w:tcPr>
            <w:tcW w:w="1620" w:type="dxa"/>
            <w:vMerge w:val="restart"/>
            <w:vAlign w:val="center"/>
          </w:tcPr>
          <w:p>
            <w:pPr>
              <w:jc w:val="center"/>
              <w:rPr>
                <w:rFonts w:ascii="宋体" w:hAnsi="宋体"/>
                <w:color w:val="auto"/>
                <w:sz w:val="28"/>
                <w:szCs w:val="28"/>
              </w:rPr>
            </w:pPr>
          </w:p>
        </w:tc>
        <w:tc>
          <w:tcPr>
            <w:tcW w:w="1800" w:type="dxa"/>
            <w:vMerge w:val="continue"/>
            <w:vAlign w:val="center"/>
          </w:tcPr>
          <w:p>
            <w:pPr>
              <w:jc w:val="center"/>
              <w:rPr>
                <w:rFonts w:ascii="宋体" w:hAnsi="宋体"/>
                <w:color w:val="auto"/>
                <w:sz w:val="28"/>
                <w:szCs w:val="28"/>
              </w:rPr>
            </w:pPr>
          </w:p>
        </w:tc>
        <w:tc>
          <w:tcPr>
            <w:tcW w:w="2340" w:type="dxa"/>
            <w:tcBorders>
              <w:bottom w:val="single" w:color="auto" w:sz="4" w:space="0"/>
              <w:right w:val="double" w:color="auto" w:sz="4" w:space="0"/>
            </w:tcBorders>
            <w:vAlign w:val="center"/>
          </w:tcPr>
          <w:p>
            <w:pPr>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left w:val="double" w:color="auto" w:sz="4" w:space="0"/>
            </w:tcBorders>
            <w:vAlign w:val="center"/>
          </w:tcPr>
          <w:p>
            <w:pPr>
              <w:jc w:val="center"/>
              <w:rPr>
                <w:rFonts w:ascii="宋体" w:hAnsi="宋体"/>
                <w:color w:val="auto"/>
                <w:sz w:val="28"/>
                <w:szCs w:val="28"/>
              </w:rPr>
            </w:pPr>
          </w:p>
        </w:tc>
        <w:tc>
          <w:tcPr>
            <w:tcW w:w="540" w:type="dxa"/>
            <w:tcBorders>
              <w:bottom w:val="single" w:color="auto" w:sz="4" w:space="0"/>
            </w:tcBorders>
            <w:vAlign w:val="center"/>
          </w:tcPr>
          <w:p>
            <w:pPr>
              <w:jc w:val="center"/>
              <w:rPr>
                <w:rFonts w:ascii="宋体" w:hAnsi="宋体"/>
                <w:color w:val="auto"/>
                <w:sz w:val="28"/>
                <w:szCs w:val="28"/>
              </w:rPr>
            </w:pPr>
            <w:r>
              <w:rPr>
                <w:rFonts w:hint="eastAsia" w:ascii="宋体" w:hAnsi="宋体"/>
                <w:color w:val="auto"/>
                <w:sz w:val="28"/>
                <w:szCs w:val="28"/>
              </w:rPr>
              <w:t>4</w:t>
            </w:r>
          </w:p>
        </w:tc>
        <w:tc>
          <w:tcPr>
            <w:tcW w:w="1260" w:type="dxa"/>
            <w:tcBorders>
              <w:bottom w:val="single" w:color="auto" w:sz="4" w:space="0"/>
            </w:tcBorders>
            <w:vAlign w:val="center"/>
          </w:tcPr>
          <w:p>
            <w:pPr>
              <w:jc w:val="center"/>
              <w:rPr>
                <w:rFonts w:ascii="宋体" w:hAnsi="宋体"/>
                <w:color w:val="auto"/>
                <w:sz w:val="28"/>
                <w:szCs w:val="28"/>
              </w:rPr>
            </w:pPr>
          </w:p>
        </w:tc>
        <w:tc>
          <w:tcPr>
            <w:tcW w:w="720" w:type="dxa"/>
            <w:tcBorders>
              <w:bottom w:val="single" w:color="auto" w:sz="4" w:space="0"/>
            </w:tcBorders>
            <w:vAlign w:val="center"/>
          </w:tcPr>
          <w:p>
            <w:pPr>
              <w:jc w:val="center"/>
              <w:rPr>
                <w:rFonts w:ascii="宋体" w:hAnsi="宋体"/>
                <w:color w:val="auto"/>
                <w:sz w:val="28"/>
                <w:szCs w:val="28"/>
              </w:rPr>
            </w:pPr>
          </w:p>
        </w:tc>
        <w:tc>
          <w:tcPr>
            <w:tcW w:w="720" w:type="dxa"/>
            <w:tcBorders>
              <w:bottom w:val="single" w:color="auto" w:sz="4" w:space="0"/>
            </w:tcBorders>
            <w:vAlign w:val="center"/>
          </w:tcPr>
          <w:p>
            <w:pPr>
              <w:jc w:val="center"/>
              <w:rPr>
                <w:rFonts w:ascii="宋体" w:hAnsi="宋体"/>
                <w:color w:val="auto"/>
                <w:sz w:val="28"/>
                <w:szCs w:val="28"/>
              </w:rPr>
            </w:pPr>
          </w:p>
        </w:tc>
        <w:tc>
          <w:tcPr>
            <w:tcW w:w="1620" w:type="dxa"/>
            <w:vMerge w:val="continue"/>
            <w:vAlign w:val="center"/>
          </w:tcPr>
          <w:p>
            <w:pPr>
              <w:jc w:val="center"/>
              <w:rPr>
                <w:rFonts w:ascii="宋体" w:hAnsi="宋体"/>
                <w:color w:val="auto"/>
                <w:sz w:val="28"/>
                <w:szCs w:val="28"/>
              </w:rPr>
            </w:pPr>
          </w:p>
        </w:tc>
        <w:tc>
          <w:tcPr>
            <w:tcW w:w="1800" w:type="dxa"/>
            <w:vMerge w:val="continue"/>
            <w:vAlign w:val="center"/>
          </w:tcPr>
          <w:p>
            <w:pPr>
              <w:jc w:val="center"/>
              <w:rPr>
                <w:rFonts w:ascii="宋体" w:hAnsi="宋体"/>
                <w:color w:val="auto"/>
                <w:sz w:val="28"/>
                <w:szCs w:val="28"/>
              </w:rPr>
            </w:pPr>
          </w:p>
        </w:tc>
        <w:tc>
          <w:tcPr>
            <w:tcW w:w="2340" w:type="dxa"/>
            <w:tcBorders>
              <w:bottom w:val="single" w:color="auto" w:sz="4" w:space="0"/>
              <w:right w:val="double" w:color="auto" w:sz="4" w:space="0"/>
            </w:tcBorders>
            <w:vAlign w:val="center"/>
          </w:tcPr>
          <w:p>
            <w:pPr>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left w:val="double" w:color="auto" w:sz="4" w:space="0"/>
              <w:bottom w:val="double" w:color="auto" w:sz="4" w:space="0"/>
            </w:tcBorders>
            <w:vAlign w:val="center"/>
          </w:tcPr>
          <w:p>
            <w:pPr>
              <w:jc w:val="center"/>
              <w:rPr>
                <w:rFonts w:ascii="宋体" w:hAnsi="宋体"/>
                <w:color w:val="auto"/>
                <w:sz w:val="28"/>
                <w:szCs w:val="28"/>
              </w:rPr>
            </w:pPr>
          </w:p>
        </w:tc>
        <w:tc>
          <w:tcPr>
            <w:tcW w:w="540" w:type="dxa"/>
            <w:tcBorders>
              <w:top w:val="single" w:color="auto" w:sz="4" w:space="0"/>
              <w:bottom w:val="double" w:color="auto" w:sz="4" w:space="0"/>
            </w:tcBorders>
            <w:vAlign w:val="center"/>
          </w:tcPr>
          <w:p>
            <w:pPr>
              <w:jc w:val="center"/>
              <w:rPr>
                <w:rFonts w:ascii="宋体" w:hAnsi="宋体"/>
                <w:color w:val="auto"/>
                <w:sz w:val="28"/>
                <w:szCs w:val="28"/>
              </w:rPr>
            </w:pPr>
            <w:r>
              <w:rPr>
                <w:rFonts w:hint="eastAsia" w:ascii="宋体" w:hAnsi="宋体"/>
                <w:color w:val="auto"/>
                <w:sz w:val="28"/>
                <w:szCs w:val="28"/>
              </w:rPr>
              <w:t>5</w:t>
            </w:r>
          </w:p>
        </w:tc>
        <w:tc>
          <w:tcPr>
            <w:tcW w:w="1260" w:type="dxa"/>
            <w:tcBorders>
              <w:top w:val="single" w:color="auto" w:sz="4" w:space="0"/>
              <w:bottom w:val="double" w:color="auto" w:sz="4" w:space="0"/>
            </w:tcBorders>
            <w:vAlign w:val="center"/>
          </w:tcPr>
          <w:p>
            <w:pPr>
              <w:jc w:val="center"/>
              <w:rPr>
                <w:rFonts w:ascii="宋体" w:hAnsi="宋体"/>
                <w:color w:val="auto"/>
                <w:sz w:val="28"/>
                <w:szCs w:val="28"/>
              </w:rPr>
            </w:pPr>
          </w:p>
        </w:tc>
        <w:tc>
          <w:tcPr>
            <w:tcW w:w="720" w:type="dxa"/>
            <w:tcBorders>
              <w:top w:val="single" w:color="auto" w:sz="4" w:space="0"/>
              <w:bottom w:val="double" w:color="auto" w:sz="4" w:space="0"/>
            </w:tcBorders>
            <w:vAlign w:val="center"/>
          </w:tcPr>
          <w:p>
            <w:pPr>
              <w:jc w:val="center"/>
              <w:rPr>
                <w:rFonts w:ascii="宋体" w:hAnsi="宋体"/>
                <w:color w:val="auto"/>
                <w:sz w:val="28"/>
                <w:szCs w:val="28"/>
              </w:rPr>
            </w:pPr>
          </w:p>
        </w:tc>
        <w:tc>
          <w:tcPr>
            <w:tcW w:w="720" w:type="dxa"/>
            <w:tcBorders>
              <w:top w:val="single" w:color="auto" w:sz="4" w:space="0"/>
              <w:bottom w:val="double" w:color="auto" w:sz="4" w:space="0"/>
            </w:tcBorders>
            <w:vAlign w:val="center"/>
          </w:tcPr>
          <w:p>
            <w:pPr>
              <w:jc w:val="center"/>
              <w:rPr>
                <w:rFonts w:ascii="宋体" w:hAnsi="宋体"/>
                <w:color w:val="auto"/>
                <w:sz w:val="28"/>
                <w:szCs w:val="28"/>
              </w:rPr>
            </w:pPr>
          </w:p>
        </w:tc>
        <w:tc>
          <w:tcPr>
            <w:tcW w:w="1620" w:type="dxa"/>
            <w:vMerge w:val="continue"/>
            <w:tcBorders>
              <w:bottom w:val="double" w:color="auto" w:sz="4" w:space="0"/>
            </w:tcBorders>
            <w:vAlign w:val="center"/>
          </w:tcPr>
          <w:p>
            <w:pPr>
              <w:jc w:val="center"/>
              <w:rPr>
                <w:rFonts w:ascii="宋体" w:hAnsi="宋体"/>
                <w:color w:val="auto"/>
                <w:sz w:val="28"/>
                <w:szCs w:val="28"/>
              </w:rPr>
            </w:pPr>
          </w:p>
        </w:tc>
        <w:tc>
          <w:tcPr>
            <w:tcW w:w="1800" w:type="dxa"/>
            <w:vMerge w:val="continue"/>
            <w:tcBorders>
              <w:bottom w:val="double" w:color="auto" w:sz="4" w:space="0"/>
            </w:tcBorders>
            <w:vAlign w:val="center"/>
          </w:tcPr>
          <w:p>
            <w:pPr>
              <w:jc w:val="center"/>
              <w:rPr>
                <w:rFonts w:ascii="宋体" w:hAnsi="宋体"/>
                <w:color w:val="auto"/>
                <w:sz w:val="28"/>
                <w:szCs w:val="28"/>
              </w:rPr>
            </w:pPr>
          </w:p>
        </w:tc>
        <w:tc>
          <w:tcPr>
            <w:tcW w:w="2340" w:type="dxa"/>
            <w:tcBorders>
              <w:top w:val="single" w:color="auto" w:sz="4" w:space="0"/>
              <w:bottom w:val="double" w:color="auto" w:sz="4" w:space="0"/>
              <w:right w:val="double" w:color="auto" w:sz="4" w:space="0"/>
            </w:tcBorders>
            <w:vAlign w:val="center"/>
          </w:tcPr>
          <w:p>
            <w:pPr>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tcBorders>
              <w:top w:val="double" w:color="auto" w:sz="4" w:space="0"/>
              <w:left w:val="double" w:color="auto" w:sz="4" w:space="0"/>
            </w:tcBorders>
            <w:vAlign w:val="center"/>
          </w:tcPr>
          <w:p>
            <w:pPr>
              <w:jc w:val="center"/>
              <w:rPr>
                <w:rFonts w:ascii="宋体" w:hAnsi="宋体"/>
                <w:color w:val="auto"/>
                <w:sz w:val="28"/>
                <w:szCs w:val="28"/>
              </w:rPr>
            </w:pPr>
            <w:r>
              <w:rPr>
                <w:rFonts w:hint="eastAsia" w:ascii="宋体" w:hAnsi="宋体"/>
                <w:color w:val="auto"/>
                <w:sz w:val="28"/>
                <w:szCs w:val="28"/>
              </w:rPr>
              <w:t>女队报名</w:t>
            </w:r>
          </w:p>
        </w:tc>
        <w:tc>
          <w:tcPr>
            <w:tcW w:w="540" w:type="dxa"/>
            <w:vMerge w:val="restart"/>
            <w:tcBorders>
              <w:top w:val="double" w:color="auto" w:sz="4" w:space="0"/>
            </w:tcBorders>
            <w:vAlign w:val="center"/>
          </w:tcPr>
          <w:p>
            <w:pPr>
              <w:jc w:val="center"/>
              <w:rPr>
                <w:rFonts w:ascii="宋体" w:hAnsi="宋体"/>
                <w:color w:val="auto"/>
                <w:sz w:val="28"/>
                <w:szCs w:val="28"/>
              </w:rPr>
            </w:pPr>
            <w:r>
              <w:rPr>
                <w:rFonts w:hint="eastAsia" w:ascii="宋体" w:hAnsi="宋体"/>
                <w:color w:val="auto"/>
                <w:sz w:val="28"/>
                <w:szCs w:val="28"/>
              </w:rPr>
              <w:t>序号</w:t>
            </w:r>
          </w:p>
        </w:tc>
        <w:tc>
          <w:tcPr>
            <w:tcW w:w="1260" w:type="dxa"/>
            <w:vMerge w:val="restart"/>
            <w:tcBorders>
              <w:top w:val="double" w:color="auto" w:sz="4" w:space="0"/>
            </w:tcBorders>
            <w:vAlign w:val="center"/>
          </w:tcPr>
          <w:p>
            <w:pPr>
              <w:jc w:val="center"/>
              <w:rPr>
                <w:rFonts w:ascii="宋体" w:hAnsi="宋体"/>
                <w:color w:val="auto"/>
                <w:sz w:val="28"/>
                <w:szCs w:val="28"/>
              </w:rPr>
            </w:pPr>
            <w:r>
              <w:rPr>
                <w:rFonts w:hint="eastAsia" w:ascii="宋体" w:hAnsi="宋体"/>
                <w:color w:val="auto"/>
                <w:sz w:val="28"/>
                <w:szCs w:val="28"/>
              </w:rPr>
              <w:t>运动员</w:t>
            </w:r>
          </w:p>
          <w:p>
            <w:pPr>
              <w:jc w:val="center"/>
              <w:rPr>
                <w:rFonts w:ascii="宋体" w:hAnsi="宋体"/>
                <w:color w:val="auto"/>
                <w:sz w:val="28"/>
                <w:szCs w:val="28"/>
              </w:rPr>
            </w:pPr>
            <w:r>
              <w:rPr>
                <w:rFonts w:hint="eastAsia" w:ascii="宋体" w:hAnsi="宋体"/>
                <w:color w:val="auto"/>
                <w:sz w:val="28"/>
                <w:szCs w:val="28"/>
              </w:rPr>
              <w:t>姓  名</w:t>
            </w:r>
          </w:p>
        </w:tc>
        <w:tc>
          <w:tcPr>
            <w:tcW w:w="4860" w:type="dxa"/>
            <w:gridSpan w:val="4"/>
            <w:tcBorders>
              <w:top w:val="double" w:color="auto" w:sz="4" w:space="0"/>
            </w:tcBorders>
            <w:vAlign w:val="center"/>
          </w:tcPr>
          <w:p>
            <w:pPr>
              <w:jc w:val="center"/>
              <w:rPr>
                <w:rFonts w:ascii="宋体" w:hAnsi="宋体"/>
                <w:color w:val="auto"/>
                <w:sz w:val="28"/>
                <w:szCs w:val="28"/>
              </w:rPr>
            </w:pPr>
            <w:r>
              <w:rPr>
                <w:rFonts w:hint="eastAsia" w:ascii="宋体" w:hAnsi="宋体"/>
                <w:color w:val="auto"/>
                <w:sz w:val="28"/>
                <w:szCs w:val="28"/>
              </w:rPr>
              <w:t>报名项目及双打配对队员姓名</w:t>
            </w:r>
          </w:p>
        </w:tc>
        <w:tc>
          <w:tcPr>
            <w:tcW w:w="2340" w:type="dxa"/>
            <w:vMerge w:val="restart"/>
            <w:tcBorders>
              <w:top w:val="double" w:color="auto" w:sz="4" w:space="0"/>
              <w:right w:val="double" w:color="auto" w:sz="4" w:space="0"/>
            </w:tcBorders>
            <w:vAlign w:val="center"/>
          </w:tcPr>
          <w:p>
            <w:pPr>
              <w:jc w:val="center"/>
              <w:rPr>
                <w:rFonts w:ascii="宋体" w:hAnsi="宋体"/>
                <w:color w:val="auto"/>
                <w:sz w:val="28"/>
                <w:szCs w:val="28"/>
              </w:rPr>
            </w:pPr>
            <w:r>
              <w:rPr>
                <w:rFonts w:hint="eastAsia" w:ascii="宋体" w:hAnsi="宋体"/>
                <w:color w:val="auto"/>
                <w:sz w:val="28"/>
                <w:szCs w:val="2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left w:val="double" w:color="auto" w:sz="4" w:space="0"/>
            </w:tcBorders>
            <w:vAlign w:val="center"/>
          </w:tcPr>
          <w:p>
            <w:pPr>
              <w:jc w:val="center"/>
              <w:rPr>
                <w:rFonts w:ascii="宋体" w:hAnsi="宋体"/>
                <w:color w:val="auto"/>
                <w:sz w:val="28"/>
                <w:szCs w:val="28"/>
              </w:rPr>
            </w:pPr>
          </w:p>
        </w:tc>
        <w:tc>
          <w:tcPr>
            <w:tcW w:w="540" w:type="dxa"/>
            <w:vMerge w:val="continue"/>
            <w:tcBorders>
              <w:bottom w:val="double" w:color="auto" w:sz="4" w:space="0"/>
            </w:tcBorders>
            <w:vAlign w:val="center"/>
          </w:tcPr>
          <w:p>
            <w:pPr>
              <w:jc w:val="center"/>
              <w:rPr>
                <w:rFonts w:ascii="宋体" w:hAnsi="宋体"/>
                <w:color w:val="auto"/>
                <w:sz w:val="28"/>
                <w:szCs w:val="28"/>
              </w:rPr>
            </w:pPr>
          </w:p>
        </w:tc>
        <w:tc>
          <w:tcPr>
            <w:tcW w:w="1260" w:type="dxa"/>
            <w:vMerge w:val="continue"/>
            <w:tcBorders>
              <w:bottom w:val="double" w:color="auto" w:sz="4" w:space="0"/>
            </w:tcBorders>
            <w:vAlign w:val="center"/>
          </w:tcPr>
          <w:p>
            <w:pPr>
              <w:jc w:val="center"/>
              <w:rPr>
                <w:rFonts w:ascii="宋体" w:hAnsi="宋体"/>
                <w:color w:val="auto"/>
                <w:sz w:val="28"/>
                <w:szCs w:val="28"/>
              </w:rPr>
            </w:pPr>
          </w:p>
        </w:tc>
        <w:tc>
          <w:tcPr>
            <w:tcW w:w="720" w:type="dxa"/>
            <w:tcBorders>
              <w:bottom w:val="double" w:color="auto" w:sz="4" w:space="0"/>
            </w:tcBorders>
            <w:vAlign w:val="center"/>
          </w:tcPr>
          <w:p>
            <w:pPr>
              <w:jc w:val="center"/>
              <w:rPr>
                <w:rFonts w:ascii="宋体" w:hAnsi="宋体"/>
                <w:color w:val="auto"/>
                <w:szCs w:val="21"/>
              </w:rPr>
            </w:pPr>
            <w:r>
              <w:rPr>
                <w:rFonts w:hint="eastAsia" w:ascii="宋体" w:hAnsi="宋体"/>
                <w:color w:val="auto"/>
                <w:szCs w:val="21"/>
              </w:rPr>
              <w:t>女</w:t>
            </w:r>
          </w:p>
          <w:p>
            <w:pPr>
              <w:jc w:val="center"/>
              <w:rPr>
                <w:rFonts w:ascii="宋体" w:hAnsi="宋体"/>
                <w:color w:val="auto"/>
                <w:szCs w:val="21"/>
              </w:rPr>
            </w:pPr>
            <w:r>
              <w:rPr>
                <w:rFonts w:hint="eastAsia" w:ascii="宋体" w:hAnsi="宋体"/>
                <w:color w:val="auto"/>
                <w:szCs w:val="21"/>
              </w:rPr>
              <w:t>团</w:t>
            </w:r>
          </w:p>
        </w:tc>
        <w:tc>
          <w:tcPr>
            <w:tcW w:w="720" w:type="dxa"/>
            <w:tcBorders>
              <w:bottom w:val="double" w:color="auto" w:sz="4" w:space="0"/>
            </w:tcBorders>
            <w:vAlign w:val="center"/>
          </w:tcPr>
          <w:p>
            <w:pPr>
              <w:jc w:val="center"/>
              <w:rPr>
                <w:rFonts w:ascii="宋体" w:hAnsi="宋体"/>
                <w:color w:val="auto"/>
                <w:szCs w:val="21"/>
              </w:rPr>
            </w:pPr>
            <w:r>
              <w:rPr>
                <w:rFonts w:hint="eastAsia" w:ascii="宋体" w:hAnsi="宋体"/>
                <w:color w:val="auto"/>
                <w:szCs w:val="21"/>
              </w:rPr>
              <w:t>女</w:t>
            </w:r>
          </w:p>
          <w:p>
            <w:pPr>
              <w:jc w:val="center"/>
              <w:rPr>
                <w:rFonts w:ascii="宋体" w:hAnsi="宋体"/>
                <w:color w:val="auto"/>
                <w:szCs w:val="21"/>
              </w:rPr>
            </w:pPr>
            <w:r>
              <w:rPr>
                <w:rFonts w:hint="eastAsia" w:ascii="宋体" w:hAnsi="宋体"/>
                <w:color w:val="auto"/>
                <w:szCs w:val="21"/>
              </w:rPr>
              <w:t>单</w:t>
            </w:r>
          </w:p>
        </w:tc>
        <w:tc>
          <w:tcPr>
            <w:tcW w:w="1620" w:type="dxa"/>
            <w:tcBorders>
              <w:bottom w:val="double" w:color="auto" w:sz="4" w:space="0"/>
            </w:tcBorders>
            <w:vAlign w:val="center"/>
          </w:tcPr>
          <w:p>
            <w:pPr>
              <w:jc w:val="center"/>
              <w:rPr>
                <w:rFonts w:ascii="宋体" w:hAnsi="宋体"/>
                <w:color w:val="auto"/>
                <w:szCs w:val="21"/>
              </w:rPr>
            </w:pPr>
            <w:r>
              <w:rPr>
                <w:rFonts w:hint="eastAsia" w:ascii="宋体" w:hAnsi="宋体"/>
                <w:color w:val="auto"/>
                <w:szCs w:val="21"/>
              </w:rPr>
              <w:t>女  双</w:t>
            </w:r>
          </w:p>
          <w:p>
            <w:pPr>
              <w:jc w:val="center"/>
              <w:rPr>
                <w:rFonts w:ascii="宋体" w:hAnsi="宋体"/>
                <w:color w:val="auto"/>
                <w:szCs w:val="21"/>
              </w:rPr>
            </w:pPr>
            <w:r>
              <w:rPr>
                <w:rFonts w:hint="eastAsia" w:ascii="宋体" w:hAnsi="宋体"/>
                <w:color w:val="auto"/>
                <w:szCs w:val="21"/>
              </w:rPr>
              <w:t>配对队员</w:t>
            </w:r>
          </w:p>
        </w:tc>
        <w:tc>
          <w:tcPr>
            <w:tcW w:w="1800" w:type="dxa"/>
            <w:tcBorders>
              <w:bottom w:val="double" w:color="auto" w:sz="4" w:space="0"/>
            </w:tcBorders>
            <w:vAlign w:val="center"/>
          </w:tcPr>
          <w:p>
            <w:pPr>
              <w:jc w:val="center"/>
              <w:rPr>
                <w:rFonts w:ascii="宋体" w:hAnsi="宋体"/>
                <w:color w:val="auto"/>
                <w:szCs w:val="21"/>
              </w:rPr>
            </w:pPr>
            <w:r>
              <w:rPr>
                <w:rFonts w:hint="eastAsia" w:ascii="宋体" w:hAnsi="宋体"/>
                <w:color w:val="auto"/>
                <w:szCs w:val="21"/>
              </w:rPr>
              <w:t>混  双</w:t>
            </w:r>
          </w:p>
          <w:p>
            <w:pPr>
              <w:jc w:val="center"/>
              <w:rPr>
                <w:rFonts w:ascii="宋体" w:hAnsi="宋体"/>
                <w:color w:val="auto"/>
                <w:szCs w:val="21"/>
              </w:rPr>
            </w:pPr>
            <w:r>
              <w:rPr>
                <w:rFonts w:hint="eastAsia" w:ascii="宋体" w:hAnsi="宋体"/>
                <w:color w:val="auto"/>
                <w:szCs w:val="21"/>
              </w:rPr>
              <w:t>配对队员</w:t>
            </w:r>
          </w:p>
        </w:tc>
        <w:tc>
          <w:tcPr>
            <w:tcW w:w="2340" w:type="dxa"/>
            <w:vMerge w:val="continue"/>
            <w:tcBorders>
              <w:bottom w:val="double" w:color="auto" w:sz="4" w:space="0"/>
              <w:right w:val="double" w:color="auto" w:sz="4" w:space="0"/>
            </w:tcBorders>
            <w:vAlign w:val="center"/>
          </w:tcPr>
          <w:p>
            <w:pPr>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left w:val="double" w:color="auto" w:sz="4" w:space="0"/>
            </w:tcBorders>
            <w:vAlign w:val="center"/>
          </w:tcPr>
          <w:p>
            <w:pPr>
              <w:jc w:val="center"/>
              <w:rPr>
                <w:rFonts w:ascii="宋体" w:hAnsi="宋体"/>
                <w:color w:val="auto"/>
                <w:sz w:val="28"/>
                <w:szCs w:val="28"/>
              </w:rPr>
            </w:pPr>
          </w:p>
        </w:tc>
        <w:tc>
          <w:tcPr>
            <w:tcW w:w="540" w:type="dxa"/>
            <w:tcBorders>
              <w:top w:val="double" w:color="auto" w:sz="4" w:space="0"/>
            </w:tcBorders>
            <w:vAlign w:val="center"/>
          </w:tcPr>
          <w:p>
            <w:pPr>
              <w:jc w:val="center"/>
              <w:rPr>
                <w:rFonts w:ascii="宋体" w:hAnsi="宋体"/>
                <w:color w:val="auto"/>
                <w:sz w:val="28"/>
                <w:szCs w:val="28"/>
              </w:rPr>
            </w:pPr>
            <w:r>
              <w:rPr>
                <w:rFonts w:hint="eastAsia" w:ascii="宋体" w:hAnsi="宋体"/>
                <w:color w:val="auto"/>
                <w:sz w:val="28"/>
                <w:szCs w:val="28"/>
              </w:rPr>
              <w:t>1</w:t>
            </w:r>
          </w:p>
        </w:tc>
        <w:tc>
          <w:tcPr>
            <w:tcW w:w="1260" w:type="dxa"/>
            <w:tcBorders>
              <w:top w:val="double" w:color="auto" w:sz="4" w:space="0"/>
            </w:tcBorders>
            <w:vAlign w:val="center"/>
          </w:tcPr>
          <w:p>
            <w:pPr>
              <w:jc w:val="center"/>
              <w:rPr>
                <w:rFonts w:ascii="宋体" w:hAnsi="宋体"/>
                <w:color w:val="auto"/>
                <w:sz w:val="28"/>
                <w:szCs w:val="28"/>
              </w:rPr>
            </w:pPr>
          </w:p>
        </w:tc>
        <w:tc>
          <w:tcPr>
            <w:tcW w:w="720" w:type="dxa"/>
            <w:tcBorders>
              <w:top w:val="double" w:color="auto" w:sz="4" w:space="0"/>
            </w:tcBorders>
            <w:vAlign w:val="center"/>
          </w:tcPr>
          <w:p>
            <w:pPr>
              <w:jc w:val="center"/>
              <w:rPr>
                <w:rFonts w:ascii="宋体" w:hAnsi="宋体"/>
                <w:color w:val="auto"/>
                <w:sz w:val="32"/>
                <w:szCs w:val="32"/>
              </w:rPr>
            </w:pPr>
          </w:p>
        </w:tc>
        <w:tc>
          <w:tcPr>
            <w:tcW w:w="720" w:type="dxa"/>
            <w:tcBorders>
              <w:top w:val="double" w:color="auto" w:sz="4" w:space="0"/>
            </w:tcBorders>
            <w:vAlign w:val="center"/>
          </w:tcPr>
          <w:p>
            <w:pPr>
              <w:jc w:val="center"/>
              <w:rPr>
                <w:rFonts w:ascii="宋体" w:hAnsi="宋体"/>
                <w:color w:val="auto"/>
                <w:sz w:val="28"/>
                <w:szCs w:val="28"/>
              </w:rPr>
            </w:pPr>
          </w:p>
        </w:tc>
        <w:tc>
          <w:tcPr>
            <w:tcW w:w="1620" w:type="dxa"/>
            <w:vMerge w:val="restart"/>
            <w:tcBorders>
              <w:top w:val="double" w:color="auto" w:sz="4" w:space="0"/>
            </w:tcBorders>
            <w:vAlign w:val="center"/>
          </w:tcPr>
          <w:p>
            <w:pPr>
              <w:jc w:val="center"/>
              <w:rPr>
                <w:rFonts w:ascii="宋体" w:hAnsi="宋体"/>
                <w:color w:val="auto"/>
                <w:sz w:val="28"/>
                <w:szCs w:val="28"/>
              </w:rPr>
            </w:pPr>
          </w:p>
        </w:tc>
        <w:tc>
          <w:tcPr>
            <w:tcW w:w="1800" w:type="dxa"/>
            <w:vMerge w:val="restart"/>
            <w:tcBorders>
              <w:top w:val="double" w:color="auto" w:sz="4" w:space="0"/>
            </w:tcBorders>
            <w:vAlign w:val="center"/>
          </w:tcPr>
          <w:p>
            <w:pPr>
              <w:jc w:val="center"/>
              <w:rPr>
                <w:rFonts w:ascii="宋体" w:hAnsi="宋体"/>
                <w:color w:val="auto"/>
                <w:sz w:val="28"/>
                <w:szCs w:val="28"/>
              </w:rPr>
            </w:pPr>
          </w:p>
        </w:tc>
        <w:tc>
          <w:tcPr>
            <w:tcW w:w="2340" w:type="dxa"/>
            <w:tcBorders>
              <w:top w:val="double" w:color="auto" w:sz="4" w:space="0"/>
              <w:right w:val="double" w:color="auto" w:sz="4" w:space="0"/>
            </w:tcBorders>
            <w:vAlign w:val="center"/>
          </w:tcPr>
          <w:p>
            <w:pPr>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left w:val="double" w:color="auto" w:sz="4" w:space="0"/>
            </w:tcBorders>
            <w:vAlign w:val="center"/>
          </w:tcPr>
          <w:p>
            <w:pPr>
              <w:jc w:val="center"/>
              <w:rPr>
                <w:rFonts w:ascii="宋体" w:hAnsi="宋体"/>
                <w:color w:val="auto"/>
                <w:sz w:val="28"/>
                <w:szCs w:val="28"/>
              </w:rPr>
            </w:pPr>
          </w:p>
        </w:tc>
        <w:tc>
          <w:tcPr>
            <w:tcW w:w="540" w:type="dxa"/>
            <w:vAlign w:val="center"/>
          </w:tcPr>
          <w:p>
            <w:pPr>
              <w:jc w:val="center"/>
              <w:rPr>
                <w:rFonts w:ascii="宋体" w:hAnsi="宋体"/>
                <w:color w:val="auto"/>
                <w:sz w:val="28"/>
                <w:szCs w:val="28"/>
              </w:rPr>
            </w:pPr>
            <w:r>
              <w:rPr>
                <w:rFonts w:hint="eastAsia" w:ascii="宋体" w:hAnsi="宋体"/>
                <w:color w:val="auto"/>
                <w:sz w:val="28"/>
                <w:szCs w:val="28"/>
              </w:rPr>
              <w:t>2</w:t>
            </w:r>
          </w:p>
        </w:tc>
        <w:tc>
          <w:tcPr>
            <w:tcW w:w="1260" w:type="dxa"/>
            <w:vAlign w:val="center"/>
          </w:tcPr>
          <w:p>
            <w:pPr>
              <w:jc w:val="center"/>
              <w:rPr>
                <w:rFonts w:ascii="宋体" w:hAnsi="宋体"/>
                <w:color w:val="auto"/>
                <w:sz w:val="28"/>
                <w:szCs w:val="28"/>
              </w:rPr>
            </w:pPr>
          </w:p>
        </w:tc>
        <w:tc>
          <w:tcPr>
            <w:tcW w:w="720" w:type="dxa"/>
            <w:vAlign w:val="center"/>
          </w:tcPr>
          <w:p>
            <w:pPr>
              <w:jc w:val="center"/>
              <w:rPr>
                <w:rFonts w:ascii="宋体" w:hAnsi="宋体"/>
                <w:color w:val="auto"/>
                <w:sz w:val="28"/>
                <w:szCs w:val="28"/>
              </w:rPr>
            </w:pPr>
          </w:p>
        </w:tc>
        <w:tc>
          <w:tcPr>
            <w:tcW w:w="720" w:type="dxa"/>
            <w:vAlign w:val="center"/>
          </w:tcPr>
          <w:p>
            <w:pPr>
              <w:jc w:val="center"/>
              <w:rPr>
                <w:rFonts w:ascii="宋体" w:hAnsi="宋体"/>
                <w:color w:val="auto"/>
                <w:sz w:val="28"/>
                <w:szCs w:val="28"/>
              </w:rPr>
            </w:pPr>
          </w:p>
        </w:tc>
        <w:tc>
          <w:tcPr>
            <w:tcW w:w="1620" w:type="dxa"/>
            <w:vMerge w:val="continue"/>
            <w:vAlign w:val="center"/>
          </w:tcPr>
          <w:p>
            <w:pPr>
              <w:jc w:val="center"/>
              <w:rPr>
                <w:rFonts w:ascii="宋体" w:hAnsi="宋体"/>
                <w:color w:val="auto"/>
                <w:sz w:val="28"/>
                <w:szCs w:val="28"/>
              </w:rPr>
            </w:pPr>
          </w:p>
        </w:tc>
        <w:tc>
          <w:tcPr>
            <w:tcW w:w="1800" w:type="dxa"/>
            <w:vMerge w:val="continue"/>
            <w:vAlign w:val="center"/>
          </w:tcPr>
          <w:p>
            <w:pPr>
              <w:jc w:val="center"/>
              <w:rPr>
                <w:rFonts w:ascii="宋体" w:hAnsi="宋体"/>
                <w:color w:val="auto"/>
                <w:sz w:val="28"/>
                <w:szCs w:val="28"/>
              </w:rPr>
            </w:pPr>
          </w:p>
        </w:tc>
        <w:tc>
          <w:tcPr>
            <w:tcW w:w="2340" w:type="dxa"/>
            <w:tcBorders>
              <w:right w:val="double" w:color="auto" w:sz="4" w:space="0"/>
            </w:tcBorders>
            <w:vAlign w:val="center"/>
          </w:tcPr>
          <w:p>
            <w:pPr>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left w:val="double" w:color="auto" w:sz="4" w:space="0"/>
            </w:tcBorders>
            <w:vAlign w:val="center"/>
          </w:tcPr>
          <w:p>
            <w:pPr>
              <w:jc w:val="center"/>
              <w:rPr>
                <w:rFonts w:ascii="宋体" w:hAnsi="宋体"/>
                <w:color w:val="auto"/>
                <w:sz w:val="28"/>
                <w:szCs w:val="28"/>
              </w:rPr>
            </w:pPr>
          </w:p>
        </w:tc>
        <w:tc>
          <w:tcPr>
            <w:tcW w:w="540" w:type="dxa"/>
            <w:vAlign w:val="center"/>
          </w:tcPr>
          <w:p>
            <w:pPr>
              <w:jc w:val="center"/>
              <w:rPr>
                <w:rFonts w:ascii="宋体" w:hAnsi="宋体"/>
                <w:color w:val="auto"/>
                <w:sz w:val="28"/>
                <w:szCs w:val="28"/>
              </w:rPr>
            </w:pPr>
            <w:r>
              <w:rPr>
                <w:rFonts w:hint="eastAsia" w:ascii="宋体" w:hAnsi="宋体"/>
                <w:color w:val="auto"/>
                <w:sz w:val="28"/>
                <w:szCs w:val="28"/>
              </w:rPr>
              <w:t>3</w:t>
            </w:r>
          </w:p>
        </w:tc>
        <w:tc>
          <w:tcPr>
            <w:tcW w:w="1260" w:type="dxa"/>
            <w:vAlign w:val="center"/>
          </w:tcPr>
          <w:p>
            <w:pPr>
              <w:jc w:val="center"/>
              <w:rPr>
                <w:rFonts w:ascii="宋体" w:hAnsi="宋体"/>
                <w:color w:val="auto"/>
                <w:sz w:val="28"/>
                <w:szCs w:val="28"/>
              </w:rPr>
            </w:pPr>
          </w:p>
        </w:tc>
        <w:tc>
          <w:tcPr>
            <w:tcW w:w="720" w:type="dxa"/>
            <w:vAlign w:val="center"/>
          </w:tcPr>
          <w:p>
            <w:pPr>
              <w:jc w:val="center"/>
              <w:rPr>
                <w:rFonts w:ascii="宋体" w:hAnsi="宋体"/>
                <w:color w:val="auto"/>
                <w:sz w:val="28"/>
                <w:szCs w:val="28"/>
              </w:rPr>
            </w:pPr>
          </w:p>
        </w:tc>
        <w:tc>
          <w:tcPr>
            <w:tcW w:w="720" w:type="dxa"/>
            <w:vAlign w:val="center"/>
          </w:tcPr>
          <w:p>
            <w:pPr>
              <w:jc w:val="center"/>
              <w:rPr>
                <w:rFonts w:ascii="宋体" w:hAnsi="宋体"/>
                <w:color w:val="auto"/>
                <w:sz w:val="28"/>
                <w:szCs w:val="28"/>
              </w:rPr>
            </w:pPr>
          </w:p>
        </w:tc>
        <w:tc>
          <w:tcPr>
            <w:tcW w:w="1620" w:type="dxa"/>
            <w:vMerge w:val="restart"/>
            <w:vAlign w:val="center"/>
          </w:tcPr>
          <w:p>
            <w:pPr>
              <w:ind w:firstLine="280" w:firstLineChars="100"/>
              <w:rPr>
                <w:rFonts w:ascii="宋体" w:hAnsi="宋体"/>
                <w:color w:val="auto"/>
                <w:sz w:val="28"/>
                <w:szCs w:val="28"/>
              </w:rPr>
            </w:pPr>
          </w:p>
        </w:tc>
        <w:tc>
          <w:tcPr>
            <w:tcW w:w="1800" w:type="dxa"/>
            <w:vMerge w:val="continue"/>
            <w:vAlign w:val="center"/>
          </w:tcPr>
          <w:p>
            <w:pPr>
              <w:jc w:val="center"/>
              <w:rPr>
                <w:rFonts w:ascii="宋体" w:hAnsi="宋体"/>
                <w:color w:val="auto"/>
                <w:sz w:val="28"/>
                <w:szCs w:val="28"/>
              </w:rPr>
            </w:pPr>
          </w:p>
        </w:tc>
        <w:tc>
          <w:tcPr>
            <w:tcW w:w="2340" w:type="dxa"/>
            <w:tcBorders>
              <w:right w:val="double" w:color="auto" w:sz="4" w:space="0"/>
            </w:tcBorders>
            <w:vAlign w:val="center"/>
          </w:tcPr>
          <w:p>
            <w:pPr>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left w:val="double" w:color="auto" w:sz="4" w:space="0"/>
            </w:tcBorders>
            <w:vAlign w:val="center"/>
          </w:tcPr>
          <w:p>
            <w:pPr>
              <w:jc w:val="center"/>
              <w:rPr>
                <w:rFonts w:ascii="宋体" w:hAnsi="宋体"/>
                <w:color w:val="auto"/>
                <w:sz w:val="28"/>
                <w:szCs w:val="28"/>
              </w:rPr>
            </w:pPr>
          </w:p>
        </w:tc>
        <w:tc>
          <w:tcPr>
            <w:tcW w:w="540" w:type="dxa"/>
            <w:vAlign w:val="center"/>
          </w:tcPr>
          <w:p>
            <w:pPr>
              <w:jc w:val="center"/>
              <w:rPr>
                <w:rFonts w:ascii="宋体" w:hAnsi="宋体"/>
                <w:color w:val="auto"/>
                <w:sz w:val="28"/>
                <w:szCs w:val="28"/>
              </w:rPr>
            </w:pPr>
            <w:r>
              <w:rPr>
                <w:rFonts w:hint="eastAsia" w:ascii="宋体" w:hAnsi="宋体"/>
                <w:color w:val="auto"/>
                <w:sz w:val="28"/>
                <w:szCs w:val="28"/>
              </w:rPr>
              <w:t>4</w:t>
            </w:r>
          </w:p>
        </w:tc>
        <w:tc>
          <w:tcPr>
            <w:tcW w:w="1260" w:type="dxa"/>
            <w:vAlign w:val="center"/>
          </w:tcPr>
          <w:p>
            <w:pPr>
              <w:jc w:val="center"/>
              <w:rPr>
                <w:rFonts w:ascii="宋体" w:hAnsi="宋体"/>
                <w:color w:val="auto"/>
                <w:sz w:val="28"/>
                <w:szCs w:val="28"/>
              </w:rPr>
            </w:pPr>
          </w:p>
        </w:tc>
        <w:tc>
          <w:tcPr>
            <w:tcW w:w="720" w:type="dxa"/>
            <w:vAlign w:val="center"/>
          </w:tcPr>
          <w:p>
            <w:pPr>
              <w:jc w:val="center"/>
              <w:rPr>
                <w:rFonts w:ascii="宋体" w:hAnsi="宋体"/>
                <w:color w:val="auto"/>
                <w:sz w:val="32"/>
                <w:szCs w:val="32"/>
              </w:rPr>
            </w:pPr>
          </w:p>
        </w:tc>
        <w:tc>
          <w:tcPr>
            <w:tcW w:w="720" w:type="dxa"/>
            <w:vAlign w:val="center"/>
          </w:tcPr>
          <w:p>
            <w:pPr>
              <w:jc w:val="center"/>
              <w:rPr>
                <w:rFonts w:ascii="宋体" w:hAnsi="宋体"/>
                <w:color w:val="auto"/>
                <w:sz w:val="32"/>
                <w:szCs w:val="32"/>
              </w:rPr>
            </w:pPr>
          </w:p>
        </w:tc>
        <w:tc>
          <w:tcPr>
            <w:tcW w:w="1620" w:type="dxa"/>
            <w:vMerge w:val="continue"/>
            <w:vAlign w:val="center"/>
          </w:tcPr>
          <w:p>
            <w:pPr>
              <w:jc w:val="center"/>
              <w:rPr>
                <w:rFonts w:ascii="宋体" w:hAnsi="宋体"/>
                <w:color w:val="auto"/>
                <w:sz w:val="28"/>
                <w:szCs w:val="28"/>
              </w:rPr>
            </w:pPr>
          </w:p>
        </w:tc>
        <w:tc>
          <w:tcPr>
            <w:tcW w:w="1800" w:type="dxa"/>
            <w:vMerge w:val="continue"/>
            <w:vAlign w:val="center"/>
          </w:tcPr>
          <w:p>
            <w:pPr>
              <w:jc w:val="center"/>
              <w:rPr>
                <w:rFonts w:ascii="宋体" w:hAnsi="宋体"/>
                <w:color w:val="auto"/>
                <w:sz w:val="28"/>
                <w:szCs w:val="28"/>
              </w:rPr>
            </w:pPr>
          </w:p>
        </w:tc>
        <w:tc>
          <w:tcPr>
            <w:tcW w:w="2340" w:type="dxa"/>
            <w:tcBorders>
              <w:right w:val="double" w:color="auto" w:sz="4" w:space="0"/>
            </w:tcBorders>
            <w:vAlign w:val="center"/>
          </w:tcPr>
          <w:p>
            <w:pPr>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Borders>
              <w:left w:val="double" w:color="auto" w:sz="4" w:space="0"/>
              <w:bottom w:val="double" w:color="auto" w:sz="4" w:space="0"/>
            </w:tcBorders>
            <w:vAlign w:val="center"/>
          </w:tcPr>
          <w:p>
            <w:pPr>
              <w:jc w:val="center"/>
              <w:rPr>
                <w:rFonts w:ascii="宋体" w:hAnsi="宋体"/>
                <w:color w:val="auto"/>
                <w:sz w:val="28"/>
                <w:szCs w:val="28"/>
              </w:rPr>
            </w:pPr>
          </w:p>
        </w:tc>
        <w:tc>
          <w:tcPr>
            <w:tcW w:w="540" w:type="dxa"/>
            <w:tcBorders>
              <w:bottom w:val="double" w:color="auto" w:sz="4" w:space="0"/>
            </w:tcBorders>
            <w:vAlign w:val="center"/>
          </w:tcPr>
          <w:p>
            <w:pPr>
              <w:jc w:val="center"/>
              <w:rPr>
                <w:rFonts w:ascii="宋体" w:hAnsi="宋体"/>
                <w:color w:val="auto"/>
                <w:sz w:val="28"/>
                <w:szCs w:val="28"/>
              </w:rPr>
            </w:pPr>
            <w:r>
              <w:rPr>
                <w:rFonts w:hint="eastAsia" w:ascii="宋体" w:hAnsi="宋体"/>
                <w:color w:val="auto"/>
                <w:sz w:val="28"/>
                <w:szCs w:val="28"/>
              </w:rPr>
              <w:t>5</w:t>
            </w:r>
          </w:p>
        </w:tc>
        <w:tc>
          <w:tcPr>
            <w:tcW w:w="1260" w:type="dxa"/>
            <w:tcBorders>
              <w:bottom w:val="double" w:color="auto" w:sz="4" w:space="0"/>
            </w:tcBorders>
            <w:vAlign w:val="center"/>
          </w:tcPr>
          <w:p>
            <w:pPr>
              <w:jc w:val="center"/>
              <w:rPr>
                <w:rFonts w:ascii="宋体" w:hAnsi="宋体"/>
                <w:color w:val="auto"/>
                <w:sz w:val="28"/>
                <w:szCs w:val="28"/>
              </w:rPr>
            </w:pPr>
          </w:p>
        </w:tc>
        <w:tc>
          <w:tcPr>
            <w:tcW w:w="720" w:type="dxa"/>
            <w:tcBorders>
              <w:bottom w:val="double" w:color="auto" w:sz="4" w:space="0"/>
            </w:tcBorders>
            <w:vAlign w:val="center"/>
          </w:tcPr>
          <w:p>
            <w:pPr>
              <w:jc w:val="center"/>
              <w:rPr>
                <w:rFonts w:ascii="宋体" w:hAnsi="宋体"/>
                <w:color w:val="auto"/>
                <w:sz w:val="28"/>
                <w:szCs w:val="28"/>
              </w:rPr>
            </w:pPr>
          </w:p>
        </w:tc>
        <w:tc>
          <w:tcPr>
            <w:tcW w:w="720" w:type="dxa"/>
            <w:tcBorders>
              <w:bottom w:val="double" w:color="auto" w:sz="4" w:space="0"/>
            </w:tcBorders>
            <w:vAlign w:val="center"/>
          </w:tcPr>
          <w:p>
            <w:pPr>
              <w:jc w:val="center"/>
              <w:rPr>
                <w:rFonts w:ascii="宋体" w:hAnsi="宋体"/>
                <w:color w:val="auto"/>
                <w:sz w:val="28"/>
                <w:szCs w:val="28"/>
              </w:rPr>
            </w:pPr>
          </w:p>
        </w:tc>
        <w:tc>
          <w:tcPr>
            <w:tcW w:w="1620" w:type="dxa"/>
            <w:vMerge w:val="continue"/>
            <w:tcBorders>
              <w:bottom w:val="double" w:color="auto" w:sz="4" w:space="0"/>
            </w:tcBorders>
            <w:vAlign w:val="center"/>
          </w:tcPr>
          <w:p>
            <w:pPr>
              <w:jc w:val="center"/>
              <w:rPr>
                <w:rFonts w:ascii="宋体" w:hAnsi="宋体"/>
                <w:color w:val="auto"/>
                <w:sz w:val="28"/>
                <w:szCs w:val="28"/>
              </w:rPr>
            </w:pPr>
          </w:p>
        </w:tc>
        <w:tc>
          <w:tcPr>
            <w:tcW w:w="1800" w:type="dxa"/>
            <w:vMerge w:val="continue"/>
            <w:tcBorders>
              <w:bottom w:val="double" w:color="auto" w:sz="4" w:space="0"/>
            </w:tcBorders>
            <w:vAlign w:val="center"/>
          </w:tcPr>
          <w:p>
            <w:pPr>
              <w:jc w:val="center"/>
              <w:rPr>
                <w:rFonts w:ascii="宋体" w:hAnsi="宋体"/>
                <w:color w:val="auto"/>
                <w:sz w:val="28"/>
                <w:szCs w:val="28"/>
              </w:rPr>
            </w:pPr>
          </w:p>
        </w:tc>
        <w:tc>
          <w:tcPr>
            <w:tcW w:w="2340" w:type="dxa"/>
            <w:tcBorders>
              <w:bottom w:val="double" w:color="auto" w:sz="4" w:space="0"/>
              <w:right w:val="double" w:color="auto" w:sz="4" w:space="0"/>
            </w:tcBorders>
            <w:vAlign w:val="center"/>
          </w:tcPr>
          <w:p>
            <w:pPr>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gridSpan w:val="2"/>
            <w:tcBorders>
              <w:top w:val="double" w:color="auto" w:sz="4" w:space="0"/>
              <w:left w:val="double" w:color="auto" w:sz="4" w:space="0"/>
              <w:bottom w:val="double" w:color="auto" w:sz="4" w:space="0"/>
            </w:tcBorders>
            <w:vAlign w:val="center"/>
          </w:tcPr>
          <w:p>
            <w:pPr>
              <w:jc w:val="center"/>
              <w:rPr>
                <w:rFonts w:ascii="宋体" w:hAnsi="宋体"/>
                <w:color w:val="auto"/>
                <w:szCs w:val="21"/>
              </w:rPr>
            </w:pPr>
            <w:r>
              <w:rPr>
                <w:rFonts w:hint="eastAsia" w:ascii="宋体" w:hAnsi="宋体"/>
                <w:color w:val="auto"/>
                <w:szCs w:val="21"/>
              </w:rPr>
              <w:t>填  表</w:t>
            </w:r>
          </w:p>
          <w:p>
            <w:pPr>
              <w:jc w:val="center"/>
              <w:rPr>
                <w:rFonts w:ascii="宋体" w:hAnsi="宋体"/>
                <w:color w:val="auto"/>
                <w:szCs w:val="21"/>
              </w:rPr>
            </w:pPr>
          </w:p>
          <w:p>
            <w:pPr>
              <w:jc w:val="center"/>
              <w:rPr>
                <w:rFonts w:ascii="宋体" w:hAnsi="宋体"/>
                <w:color w:val="auto"/>
                <w:sz w:val="28"/>
                <w:szCs w:val="28"/>
              </w:rPr>
            </w:pPr>
            <w:r>
              <w:rPr>
                <w:rFonts w:hint="eastAsia" w:ascii="宋体" w:hAnsi="宋体"/>
                <w:color w:val="auto"/>
                <w:szCs w:val="21"/>
              </w:rPr>
              <w:t>说  明</w:t>
            </w:r>
          </w:p>
        </w:tc>
        <w:tc>
          <w:tcPr>
            <w:tcW w:w="8460" w:type="dxa"/>
            <w:gridSpan w:val="6"/>
            <w:tcBorders>
              <w:top w:val="double" w:color="auto" w:sz="4" w:space="0"/>
              <w:bottom w:val="double" w:color="auto" w:sz="4" w:space="0"/>
              <w:right w:val="double" w:color="auto" w:sz="4" w:space="0"/>
            </w:tcBorders>
            <w:vAlign w:val="center"/>
          </w:tcPr>
          <w:p>
            <w:pPr>
              <w:spacing w:line="360" w:lineRule="exact"/>
              <w:rPr>
                <w:rFonts w:ascii="宋体" w:hAnsi="宋体"/>
                <w:color w:val="auto"/>
                <w:sz w:val="18"/>
                <w:szCs w:val="18"/>
              </w:rPr>
            </w:pPr>
            <w:r>
              <w:rPr>
                <w:rFonts w:hint="eastAsia" w:ascii="宋体" w:hAnsi="宋体"/>
                <w:color w:val="auto"/>
                <w:sz w:val="18"/>
                <w:szCs w:val="18"/>
              </w:rPr>
              <w:t>1、请按运动员技术水平由高至低排列，抽签时以报名排序为依据。</w:t>
            </w:r>
          </w:p>
          <w:p>
            <w:pPr>
              <w:spacing w:line="360" w:lineRule="exact"/>
              <w:rPr>
                <w:rFonts w:ascii="宋体" w:hAnsi="宋体"/>
                <w:color w:val="auto"/>
                <w:sz w:val="18"/>
                <w:szCs w:val="18"/>
              </w:rPr>
            </w:pPr>
            <w:r>
              <w:rPr>
                <w:rFonts w:hint="eastAsia" w:ascii="宋体" w:hAnsi="宋体"/>
                <w:color w:val="auto"/>
                <w:sz w:val="18"/>
                <w:szCs w:val="18"/>
              </w:rPr>
              <w:t>2、每单位可报男、女运动员各5人，在所报名项目相应格中</w:t>
            </w:r>
            <w:r>
              <w:rPr>
                <w:rFonts w:hint="eastAsia" w:ascii="宋体" w:hAnsi="宋体"/>
                <w:color w:val="auto"/>
                <w:sz w:val="18"/>
                <w:szCs w:val="18"/>
              </w:rPr>
              <w:t>划√。（填写姓名）</w:t>
            </w:r>
          </w:p>
          <w:p>
            <w:pPr>
              <w:spacing w:line="360" w:lineRule="exact"/>
              <w:rPr>
                <w:rFonts w:ascii="宋体" w:hAnsi="宋体"/>
                <w:color w:val="auto"/>
                <w:sz w:val="18"/>
                <w:szCs w:val="18"/>
              </w:rPr>
            </w:pPr>
            <w:r>
              <w:rPr>
                <w:rFonts w:hint="eastAsia" w:ascii="宋体" w:hAnsi="宋体"/>
                <w:color w:val="auto"/>
                <w:sz w:val="18"/>
                <w:szCs w:val="18"/>
              </w:rPr>
              <w:t>3、所报名的男、女运动员中，</w:t>
            </w:r>
            <w:r>
              <w:rPr>
                <w:rFonts w:hint="eastAsia" w:ascii="宋体" w:hAnsi="宋体"/>
                <w:color w:val="auto"/>
                <w:sz w:val="18"/>
                <w:szCs w:val="18"/>
              </w:rPr>
              <w:t>除报名团体赛外均（还）可兼报单打、双</w:t>
            </w:r>
            <w:r>
              <w:rPr>
                <w:rFonts w:hint="eastAsia" w:ascii="宋体" w:hAnsi="宋体"/>
                <w:color w:val="auto"/>
                <w:sz w:val="18"/>
                <w:szCs w:val="18"/>
              </w:rPr>
              <w:t>打比赛（每人限报3项）。</w:t>
            </w:r>
          </w:p>
          <w:p>
            <w:pPr>
              <w:spacing w:line="360" w:lineRule="exact"/>
              <w:rPr>
                <w:rFonts w:ascii="宋体" w:hAnsi="宋体"/>
                <w:color w:val="auto"/>
                <w:sz w:val="18"/>
                <w:szCs w:val="18"/>
              </w:rPr>
            </w:pPr>
            <w:r>
              <w:rPr>
                <w:rFonts w:hint="eastAsia" w:ascii="宋体" w:hAnsi="宋体"/>
                <w:color w:val="auto"/>
                <w:sz w:val="18"/>
                <w:szCs w:val="18"/>
              </w:rPr>
              <w:t>4、男双、女双、混双项目每单位各可报2对，并须注明配对队员姓名。</w:t>
            </w:r>
          </w:p>
          <w:p>
            <w:pPr>
              <w:spacing w:line="360" w:lineRule="exact"/>
              <w:rPr>
                <w:rFonts w:ascii="宋体" w:hAnsi="宋体"/>
                <w:color w:val="auto"/>
                <w:sz w:val="18"/>
                <w:szCs w:val="18"/>
              </w:rPr>
            </w:pPr>
            <w:r>
              <w:rPr>
                <w:rFonts w:hint="eastAsia" w:ascii="宋体" w:hAnsi="宋体"/>
                <w:color w:val="auto"/>
                <w:sz w:val="18"/>
                <w:szCs w:val="18"/>
              </w:rPr>
              <w:t>5、请用计算机打印填写此表。</w:t>
            </w:r>
          </w:p>
          <w:p>
            <w:pPr>
              <w:spacing w:line="360" w:lineRule="exact"/>
              <w:rPr>
                <w:rFonts w:ascii="宋体" w:hAnsi="宋体"/>
                <w:color w:val="auto"/>
                <w:sz w:val="18"/>
                <w:szCs w:val="18"/>
              </w:rPr>
            </w:pPr>
            <w:r>
              <w:rPr>
                <w:rFonts w:hint="eastAsia" w:ascii="宋体" w:hAnsi="宋体"/>
                <w:color w:val="auto"/>
                <w:sz w:val="18"/>
                <w:szCs w:val="18"/>
              </w:rPr>
              <w:t>6、报名截止日期：</w:t>
            </w:r>
            <w:r>
              <w:rPr>
                <w:rFonts w:hint="eastAsia" w:ascii="宋体" w:hAnsi="宋体"/>
                <w:color w:val="auto"/>
                <w:sz w:val="18"/>
                <w:szCs w:val="18"/>
              </w:rPr>
              <w:t>（2</w:t>
            </w:r>
            <w:r>
              <w:rPr>
                <w:rFonts w:hint="eastAsia" w:ascii="宋体" w:hAnsi="宋体"/>
                <w:color w:val="auto"/>
                <w:sz w:val="18"/>
                <w:szCs w:val="18"/>
              </w:rPr>
              <w:t>017年</w:t>
            </w:r>
            <w:r>
              <w:rPr>
                <w:rFonts w:hint="eastAsia" w:ascii="宋体" w:hAnsi="宋体"/>
                <w:color w:val="auto"/>
                <w:sz w:val="18"/>
                <w:szCs w:val="18"/>
              </w:rPr>
              <w:t>6月10日）</w:t>
            </w:r>
          </w:p>
        </w:tc>
      </w:tr>
    </w:tbl>
    <w:p>
      <w:pPr>
        <w:rPr>
          <w:rFonts w:ascii="宋体" w:hAnsi="宋体"/>
          <w:color w:val="auto"/>
          <w:sz w:val="24"/>
        </w:rPr>
      </w:pPr>
    </w:p>
    <w:p>
      <w:pPr>
        <w:rPr>
          <w:rFonts w:ascii="宋体" w:hAnsi="宋体"/>
          <w:color w:val="auto"/>
          <w:sz w:val="24"/>
        </w:rPr>
      </w:pPr>
      <w:r>
        <w:rPr>
          <w:rFonts w:hint="eastAsia" w:ascii="宋体" w:hAnsi="宋体"/>
          <w:color w:val="auto"/>
          <w:sz w:val="24"/>
        </w:rPr>
        <w:t>法人校长签字</w:t>
      </w:r>
      <w:r>
        <w:rPr>
          <w:rFonts w:hint="eastAsia" w:ascii="宋体" w:hAnsi="宋体"/>
          <w:color w:val="auto"/>
          <w:sz w:val="24"/>
          <w:lang w:eastAsia="zh-CN"/>
        </w:rPr>
        <w:t>（</w:t>
      </w:r>
      <w:r>
        <w:rPr>
          <w:rFonts w:hint="eastAsia" w:ascii="宋体" w:hAnsi="宋体"/>
          <w:color w:val="auto"/>
          <w:sz w:val="24"/>
          <w:lang w:val="en-US" w:eastAsia="zh-CN"/>
        </w:rPr>
        <w:t>加盖学校公章</w:t>
      </w:r>
      <w:r>
        <w:rPr>
          <w:rFonts w:hint="eastAsia" w:ascii="宋体" w:hAnsi="宋体"/>
          <w:color w:val="auto"/>
          <w:sz w:val="24"/>
          <w:lang w:eastAsia="zh-CN"/>
        </w:rPr>
        <w:t>）</w:t>
      </w:r>
      <w:r>
        <w:rPr>
          <w:rFonts w:hint="eastAsia" w:ascii="宋体" w:hAnsi="宋体"/>
          <w:color w:val="auto"/>
          <w:sz w:val="24"/>
        </w:rPr>
        <w:t xml:space="preserve">:           </w:t>
      </w:r>
      <w:r>
        <w:rPr>
          <w:rFonts w:hint="eastAsia" w:ascii="宋体" w:hAnsi="宋体"/>
          <w:color w:val="auto"/>
          <w:sz w:val="24"/>
        </w:rPr>
        <w:t>办公电话：           邮箱：</w:t>
      </w:r>
      <w:r>
        <w:rPr>
          <w:rFonts w:hint="eastAsia" w:ascii="宋体" w:hAnsi="宋体"/>
          <w:color w:val="auto"/>
          <w:sz w:val="24"/>
          <w:lang w:val="en-US" w:eastAsia="zh-CN"/>
        </w:rPr>
        <w:t xml:space="preserve">            </w:t>
      </w:r>
    </w:p>
    <w:p>
      <w:pPr>
        <w:rPr>
          <w:rFonts w:ascii="黑体" w:hAnsi="华文中宋" w:eastAsia="黑体"/>
          <w:color w:val="auto"/>
          <w:sz w:val="28"/>
          <w:szCs w:val="28"/>
        </w:rPr>
      </w:pPr>
      <w:r>
        <w:rPr>
          <w:rFonts w:ascii="宋体" w:hAnsi="宋体"/>
          <w:color w:val="auto"/>
          <w:sz w:val="24"/>
        </w:rPr>
        <w:br w:type="page"/>
      </w:r>
      <w:r>
        <w:rPr>
          <w:rFonts w:hint="eastAsia" w:ascii="黑体" w:hAnsi="华文中宋" w:eastAsia="黑体"/>
          <w:color w:val="auto"/>
          <w:sz w:val="28"/>
          <w:szCs w:val="28"/>
        </w:rPr>
        <w:t>附件3：</w:t>
      </w:r>
    </w:p>
    <w:p>
      <w:pPr>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第十八届中国</w:t>
      </w:r>
      <w:r>
        <w:rPr>
          <w:rFonts w:asciiTheme="minorEastAsia" w:hAnsiTheme="minorEastAsia" w:eastAsiaTheme="minorEastAsia"/>
          <w:b/>
          <w:color w:val="auto"/>
          <w:sz w:val="36"/>
          <w:szCs w:val="36"/>
        </w:rPr>
        <w:t>中学生乒乓球锦标赛</w:t>
      </w:r>
    </w:p>
    <w:p>
      <w:pPr>
        <w:jc w:val="center"/>
        <w:rPr>
          <w:rFonts w:asciiTheme="minorEastAsia" w:hAnsiTheme="minorEastAsia" w:eastAsiaTheme="minorEastAsia"/>
          <w:b/>
          <w:color w:val="auto"/>
          <w:sz w:val="36"/>
          <w:szCs w:val="36"/>
        </w:rPr>
      </w:pPr>
      <w:r>
        <w:rPr>
          <w:rFonts w:asciiTheme="minorEastAsia" w:hAnsiTheme="minorEastAsia" w:eastAsiaTheme="minorEastAsia"/>
          <w:b/>
          <w:color w:val="auto"/>
          <w:sz w:val="36"/>
          <w:szCs w:val="36"/>
        </w:rPr>
        <w:t>球拍检测工作方案</w:t>
      </w:r>
    </w:p>
    <w:p>
      <w:pPr>
        <w:spacing w:line="560" w:lineRule="exact"/>
        <w:ind w:firstLine="640" w:firstLineChars="200"/>
        <w:rPr>
          <w:rFonts w:ascii="黑体" w:hAnsi="黑体" w:eastAsia="黑体"/>
          <w:color w:val="auto"/>
          <w:sz w:val="32"/>
          <w:szCs w:val="32"/>
        </w:rPr>
      </w:pPr>
      <w:r>
        <w:rPr>
          <w:rFonts w:ascii="黑体" w:hAnsi="黑体" w:eastAsia="黑体"/>
          <w:color w:val="auto"/>
          <w:sz w:val="32"/>
          <w:szCs w:val="32"/>
        </w:rPr>
        <w:t>一、检测内容</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水溶性胶水、胶皮海绵厚度、球拍表面平整度。</w:t>
      </w:r>
    </w:p>
    <w:p>
      <w:pPr>
        <w:spacing w:line="560" w:lineRule="exact"/>
        <w:ind w:firstLine="640" w:firstLineChars="200"/>
        <w:rPr>
          <w:rFonts w:ascii="黑体" w:hAnsi="黑体" w:eastAsia="黑体"/>
          <w:color w:val="auto"/>
          <w:sz w:val="32"/>
          <w:szCs w:val="32"/>
        </w:rPr>
      </w:pPr>
      <w:r>
        <w:rPr>
          <w:rFonts w:ascii="黑体" w:hAnsi="黑体" w:eastAsia="黑体"/>
          <w:color w:val="auto"/>
          <w:sz w:val="32"/>
          <w:szCs w:val="32"/>
        </w:rPr>
        <w:t>二、检测仪器</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(一)水溶性胶水：enez®by Wassing</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(二)胶皮海绵厚度：电子厚度仪、放大镜、卡尺</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(三)球拍表面平整度：电子平度仪、尺子、厚度规</w:t>
      </w:r>
    </w:p>
    <w:p>
      <w:pPr>
        <w:spacing w:line="560" w:lineRule="exact"/>
        <w:ind w:firstLine="640" w:firstLineChars="200"/>
        <w:rPr>
          <w:rFonts w:ascii="黑体" w:hAnsi="黑体" w:eastAsia="黑体"/>
          <w:color w:val="auto"/>
          <w:sz w:val="32"/>
          <w:szCs w:val="32"/>
        </w:rPr>
      </w:pPr>
      <w:r>
        <w:rPr>
          <w:rFonts w:ascii="黑体" w:hAnsi="黑体" w:eastAsia="黑体"/>
          <w:color w:val="auto"/>
          <w:sz w:val="32"/>
          <w:szCs w:val="32"/>
        </w:rPr>
        <w:t>三、检测标准</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(一)水溶性胶水：挥发物浓度≤5ppm</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(二)胶皮海绵厚度：≤4mm</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(三)胶皮海绵平整度：+0.2mm /-0.5mm</w:t>
      </w:r>
    </w:p>
    <w:p>
      <w:pPr>
        <w:spacing w:line="560" w:lineRule="exact"/>
        <w:ind w:firstLine="640" w:firstLineChars="200"/>
        <w:rPr>
          <w:rFonts w:ascii="黑体" w:hAnsi="黑体" w:eastAsia="黑体"/>
          <w:color w:val="auto"/>
          <w:sz w:val="32"/>
          <w:szCs w:val="32"/>
        </w:rPr>
      </w:pPr>
      <w:r>
        <w:rPr>
          <w:rFonts w:ascii="黑体" w:hAnsi="黑体" w:eastAsia="黑体"/>
          <w:color w:val="auto"/>
          <w:sz w:val="32"/>
          <w:szCs w:val="32"/>
        </w:rPr>
        <w:t>四</w:t>
      </w:r>
      <w:r>
        <w:rPr>
          <w:rFonts w:hint="eastAsia" w:ascii="黑体" w:hAnsi="黑体" w:eastAsia="黑体"/>
          <w:color w:val="auto"/>
          <w:sz w:val="32"/>
          <w:szCs w:val="32"/>
        </w:rPr>
        <w:t>、</w:t>
      </w:r>
      <w:r>
        <w:rPr>
          <w:rFonts w:ascii="黑体" w:hAnsi="黑体" w:eastAsia="黑体"/>
          <w:color w:val="auto"/>
          <w:sz w:val="32"/>
          <w:szCs w:val="32"/>
        </w:rPr>
        <w:t>检测范围</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凡是参加20</w:t>
      </w:r>
      <w:r>
        <w:rPr>
          <w:rFonts w:hint="eastAsia" w:ascii="仿宋_GB2312" w:hAnsi="仿宋" w:eastAsia="仿宋_GB2312"/>
          <w:color w:val="auto"/>
          <w:sz w:val="32"/>
          <w:szCs w:val="32"/>
        </w:rPr>
        <w:t>17</w:t>
      </w:r>
      <w:r>
        <w:rPr>
          <w:rFonts w:ascii="仿宋_GB2312" w:hAnsi="仿宋" w:eastAsia="仿宋_GB2312"/>
          <w:color w:val="auto"/>
          <w:sz w:val="32"/>
          <w:szCs w:val="32"/>
        </w:rPr>
        <w:t>全国中学生乒乓球锦标赛的运动员必须无条件的接受对球拍水溶性胶水和覆盖物厚度的检测。</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(一)比赛前一天，由各参赛队组织运动员进行自愿检测，检测结果交给各队，不作为处罚依据。</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(二)男、女团体赛，每天每节检测8人，男、女各四人。各选择2张球台，比赛双方各检测1人。</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(三)五个单项比赛，每一天每节比赛中均检测8人，男、女各四人。选择4张球台，比赛双方均检测。</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(四)所有决出名次的比赛，均要接受赛前球拍检测。</w:t>
      </w:r>
    </w:p>
    <w:p>
      <w:pPr>
        <w:spacing w:line="560" w:lineRule="exact"/>
        <w:ind w:firstLine="640" w:firstLineChars="200"/>
        <w:rPr>
          <w:rFonts w:ascii="黑体" w:hAnsi="黑体" w:eastAsia="黑体"/>
          <w:color w:val="auto"/>
          <w:sz w:val="32"/>
          <w:szCs w:val="32"/>
        </w:rPr>
      </w:pPr>
      <w:r>
        <w:rPr>
          <w:rFonts w:ascii="黑体" w:hAnsi="黑体" w:eastAsia="黑体"/>
          <w:color w:val="auto"/>
          <w:sz w:val="32"/>
          <w:szCs w:val="32"/>
        </w:rPr>
        <w:t>五、检测程序</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(一)比赛开始前一天，各参赛队根据划分的时间段，将自愿检测的球拍用信封装好并写上运动员姓名，送至球拍检测处。</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(二)在团体比赛中，第一场上场比赛的运动员，在被通知进行球拍检测后，必须立即把球拍送到检测处进行检测。</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(三)在团体比赛中，第一场以后上场比赛的运动员，在接到球拍检测通知后，在前一场比赛开始前，将球拍送到球拍检测处进行检测。</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(四)参加单打比赛的运动员，在接到球拍检测通知后，至少要在比赛开始前30分钟，将球拍送到球拍检测处进行检测。</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(五)球拍通过检测后，将交由当场比赛裁判员保管；运动员上场后，由裁判员交给比赛运动员。</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(六)被检测球拍的运动员，及其教练员可以现场观察球拍检测。其它人员不得进入球拍检测现场。</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(七)球拍检测后，检测人员要如实填写球拍检测登记表，并在登记表上签字，同时，将检测结果及时通知被检测运动员或其教练员和当场比赛裁判员。</w:t>
      </w:r>
    </w:p>
    <w:p>
      <w:pPr>
        <w:spacing w:line="560" w:lineRule="exact"/>
        <w:ind w:firstLine="640" w:firstLineChars="200"/>
        <w:rPr>
          <w:rFonts w:ascii="黑体" w:hAnsi="黑体" w:eastAsia="黑体"/>
          <w:color w:val="auto"/>
          <w:sz w:val="32"/>
          <w:szCs w:val="32"/>
        </w:rPr>
      </w:pPr>
      <w:r>
        <w:rPr>
          <w:rFonts w:ascii="黑体" w:hAnsi="黑体" w:eastAsia="黑体"/>
          <w:color w:val="auto"/>
          <w:sz w:val="32"/>
          <w:szCs w:val="32"/>
        </w:rPr>
        <w:t>六、处罚</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(一)如果水溶性胶水未通过检测，运动员要马上更换球拍，并且要通过检测。三次未通过检测的，将进行赛后检测。赛后检测不合格者，将被取消当场比赛成绩。</w:t>
      </w:r>
    </w:p>
    <w:p>
      <w:pPr>
        <w:spacing w:line="560" w:lineRule="exact"/>
        <w:ind w:firstLine="640" w:firstLineChars="200"/>
        <w:rPr>
          <w:rFonts w:ascii="仿宋_GB2312" w:hAnsi="仿宋" w:eastAsia="仿宋_GB2312"/>
          <w:color w:val="auto"/>
          <w:sz w:val="32"/>
          <w:szCs w:val="32"/>
        </w:rPr>
      </w:pPr>
      <w:r>
        <w:rPr>
          <w:rFonts w:ascii="仿宋_GB2312" w:hAnsi="仿宋" w:eastAsia="仿宋_GB2312"/>
          <w:color w:val="auto"/>
          <w:sz w:val="32"/>
          <w:szCs w:val="32"/>
        </w:rPr>
        <w:t>(二)球拍其它指标未通过检测的，将由比赛裁判长决定如何处理。</w:t>
      </w:r>
    </w:p>
    <w:p>
      <w:pPr>
        <w:spacing w:line="560" w:lineRule="exact"/>
        <w:ind w:firstLine="640" w:firstLineChars="200"/>
        <w:rPr>
          <w:rFonts w:ascii="黑体" w:hAnsi="黑体" w:eastAsia="黑体"/>
          <w:color w:val="auto"/>
          <w:sz w:val="32"/>
          <w:szCs w:val="32"/>
        </w:rPr>
      </w:pPr>
      <w:r>
        <w:rPr>
          <w:rFonts w:ascii="黑体" w:hAnsi="黑体" w:eastAsia="黑体"/>
          <w:color w:val="auto"/>
          <w:sz w:val="32"/>
          <w:szCs w:val="32"/>
        </w:rPr>
        <w:t>七、检测范围和程序如有变动，将另行通知。</w:t>
      </w:r>
    </w:p>
    <w:p>
      <w:pPr>
        <w:spacing w:line="560" w:lineRule="exact"/>
        <w:ind w:firstLine="640" w:firstLineChars="200"/>
        <w:rPr>
          <w:rFonts w:ascii="黑体" w:hAnsi="黑体" w:eastAsia="黑体"/>
          <w:color w:val="auto"/>
          <w:sz w:val="32"/>
          <w:szCs w:val="32"/>
        </w:rPr>
      </w:pPr>
      <w:r>
        <w:rPr>
          <w:rFonts w:ascii="黑体" w:hAnsi="黑体" w:eastAsia="黑体"/>
          <w:color w:val="auto"/>
          <w:sz w:val="32"/>
          <w:szCs w:val="32"/>
        </w:rPr>
        <w:t>八、未尽事宜，将由比赛组委会给予解释。</w:t>
      </w:r>
    </w:p>
    <w:p>
      <w:pPr>
        <w:widowControl/>
        <w:jc w:val="left"/>
        <w:rPr>
          <w:rFonts w:ascii="黑体" w:hAnsi="黑体" w:eastAsia="黑体"/>
          <w:color w:val="auto"/>
          <w:sz w:val="32"/>
          <w:szCs w:val="32"/>
        </w:rPr>
      </w:pPr>
      <w:r>
        <w:rPr>
          <w:rFonts w:ascii="黑体" w:hAnsi="黑体" w:eastAsia="黑体"/>
          <w:color w:val="auto"/>
          <w:sz w:val="32"/>
          <w:szCs w:val="32"/>
        </w:rPr>
        <w:br w:type="page"/>
      </w:r>
    </w:p>
    <w:p>
      <w:pPr>
        <w:rPr>
          <w:b/>
          <w:color w:val="auto"/>
          <w:sz w:val="44"/>
          <w:szCs w:val="44"/>
        </w:rPr>
      </w:pPr>
      <w:r>
        <w:rPr>
          <w:rFonts w:hint="eastAsia" w:ascii="黑体" w:hAnsi="华文中宋" w:eastAsia="黑体"/>
          <w:color w:val="auto"/>
          <w:sz w:val="28"/>
          <w:szCs w:val="28"/>
        </w:rPr>
        <w:t>附件4：</w:t>
      </w:r>
    </w:p>
    <w:p>
      <w:pPr>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关于参赛运动员文化考试的说明</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一、参加考试人员</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第十八届中国中学生乒乓球锦标赛所有参赛运动员。</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二、考试分组及科目</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考试分初中组和高中组。</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科目分别是语文、外语、数学各10道选择题，共30题。</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三、考试时间</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2017年7月27日08:30-09:15（初中组）；09:45-10:30（高中组）</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四、注意事项</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考生进入考场必须携带身份证、学籍卡。</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五、命题说明</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考题分初中组和高中组，考题内容包括;语文、英语、数学三门课程的基础知识，题型为单项选择题，每科十题。试题在网上公布的《试题库》内抽取。</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六、成绩认证</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本次文化课考试仅有一次，不设补考；18分为及格线。低于18分（不含）者取消参加本届锦标赛资格。（可参加组委会安排的安慰赛）。</w:t>
      </w:r>
    </w:p>
    <w:p>
      <w:pPr>
        <w:widowControl/>
        <w:jc w:val="left"/>
        <w:rPr>
          <w:rFonts w:ascii="仿宋_GB2312" w:hAnsi="仿宋" w:eastAsia="仿宋_GB2312"/>
          <w:color w:val="auto"/>
          <w:sz w:val="32"/>
          <w:szCs w:val="32"/>
        </w:rPr>
      </w:pPr>
      <w:r>
        <w:rPr>
          <w:rFonts w:ascii="仿宋_GB2312" w:hAnsi="仿宋" w:eastAsia="仿宋_GB2312"/>
          <w:color w:val="auto"/>
          <w:sz w:val="32"/>
          <w:szCs w:val="32"/>
        </w:rPr>
        <w:br w:type="page"/>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Style w:val="6"/>
          <w:bCs w:val="0"/>
          <w:color w:val="auto"/>
          <w:sz w:val="44"/>
          <w:szCs w:val="44"/>
        </w:rPr>
      </w:pPr>
      <w:r>
        <w:rPr>
          <w:rFonts w:hint="eastAsia" w:ascii="黑体" w:hAnsi="华文中宋" w:eastAsia="黑体"/>
          <w:color w:val="auto"/>
          <w:sz w:val="28"/>
          <w:szCs w:val="28"/>
        </w:rPr>
        <w:t>附件5：</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cs="Times New Roman" w:asciiTheme="minorEastAsia" w:hAnsiTheme="minorEastAsia" w:eastAsiaTheme="minorEastAsia"/>
          <w:b/>
          <w:color w:val="auto"/>
          <w:kern w:val="2"/>
          <w:sz w:val="36"/>
          <w:szCs w:val="36"/>
          <w:lang w:val="en-US" w:eastAsia="zh-CN" w:bidi="ar-SA"/>
        </w:rPr>
      </w:pPr>
      <w:r>
        <w:rPr>
          <w:rFonts w:hint="eastAsia" w:cs="Times New Roman" w:asciiTheme="minorEastAsia" w:hAnsiTheme="minorEastAsia" w:eastAsiaTheme="minorEastAsia"/>
          <w:b/>
          <w:color w:val="auto"/>
          <w:kern w:val="2"/>
          <w:sz w:val="36"/>
          <w:szCs w:val="36"/>
          <w:lang w:val="en-US" w:eastAsia="zh-CN" w:bidi="ar-SA"/>
        </w:rPr>
        <w:t>关于中国中学生体育协会乒乓球分会会员单位</w:t>
      </w:r>
      <w:r>
        <w:rPr>
          <w:rFonts w:hint="eastAsia" w:cs="Times New Roman" w:asciiTheme="minorEastAsia" w:hAnsiTheme="minorEastAsia" w:eastAsiaTheme="minorEastAsia"/>
          <w:b/>
          <w:color w:val="auto"/>
          <w:kern w:val="2"/>
          <w:sz w:val="36"/>
          <w:szCs w:val="36"/>
          <w:lang w:val="en-US" w:eastAsia="zh-CN" w:bidi="ar-SA"/>
        </w:rPr>
        <w:br w:type="textWrapping"/>
      </w:r>
      <w:r>
        <w:rPr>
          <w:rFonts w:hint="eastAsia" w:cs="Times New Roman" w:asciiTheme="minorEastAsia" w:hAnsiTheme="minorEastAsia" w:eastAsiaTheme="minorEastAsia"/>
          <w:b/>
          <w:color w:val="auto"/>
          <w:kern w:val="2"/>
          <w:sz w:val="36"/>
          <w:szCs w:val="36"/>
          <w:lang w:val="en-US" w:eastAsia="zh-CN" w:bidi="ar-SA"/>
        </w:rPr>
        <w:t>交纳2017年会员会费的通知</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根据中国中学生体育协会的相关规定，中国中学生体育协会乒乓球分会会员应每年按时缴纳会员费。收费标准为普通会员单位1000元/年、副主席会员单位2000元/年、主席会员单位3000元/年。缴费方式为银行转账汇款。为确保各会员单位及时准确领取到缴费发票请汇款时务必备注填写以下详细信息：</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1、汇款学校全称（发票抬头只能是学校名称）；</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2、标明缴纳的是哪一年及项目的会费（如2017年乒乓球分会会费）；</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3、汇款后，请将银行的汇款单据复印件传真到010-66093777，传真时注明汇款联系人所在学校全称、电话、姓名及详细邮寄地址。</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中国中学生体育协会收取会费对公账号：</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户名：中国中学生体育协会</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账号：75080188000106118</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开户行:北京光大银行中关村支行</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color w:val="auto"/>
        </w:rPr>
      </w:pPr>
      <w:r>
        <w:rPr>
          <w:rFonts w:hint="eastAsia" w:ascii="仿宋_GB2312" w:hAnsi="仿宋" w:eastAsia="仿宋_GB2312"/>
          <w:color w:val="auto"/>
          <w:sz w:val="32"/>
          <w:szCs w:val="32"/>
        </w:rPr>
        <w:t>凡网上缴费成功的会员学校，方有资格参加相关活动。</w:t>
      </w:r>
    </w:p>
    <w:sectPr>
      <w:headerReference r:id="rId3" w:type="default"/>
      <w:footerReference r:id="rId4" w:type="default"/>
      <w:footerReference r:id="rId5" w:type="even"/>
      <w:pgSz w:w="11906" w:h="16838"/>
      <w:pgMar w:top="1134" w:right="1418" w:bottom="1134"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12</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41"/>
    <w:rsid w:val="00001665"/>
    <w:rsid w:val="00114141"/>
    <w:rsid w:val="001979B0"/>
    <w:rsid w:val="001E2EE4"/>
    <w:rsid w:val="002278A7"/>
    <w:rsid w:val="0035571E"/>
    <w:rsid w:val="003862AB"/>
    <w:rsid w:val="003B53C4"/>
    <w:rsid w:val="004C486A"/>
    <w:rsid w:val="00570E0B"/>
    <w:rsid w:val="005C2849"/>
    <w:rsid w:val="00762741"/>
    <w:rsid w:val="007F3245"/>
    <w:rsid w:val="00862873"/>
    <w:rsid w:val="00A6075C"/>
    <w:rsid w:val="00AB4640"/>
    <w:rsid w:val="00AC76AD"/>
    <w:rsid w:val="00E5529A"/>
    <w:rsid w:val="00E82241"/>
    <w:rsid w:val="00E956EB"/>
    <w:rsid w:val="00FB7947"/>
    <w:rsid w:val="07D232C7"/>
    <w:rsid w:val="0EBC71FB"/>
    <w:rsid w:val="14E30A9D"/>
    <w:rsid w:val="1CE32198"/>
    <w:rsid w:val="21B94836"/>
    <w:rsid w:val="4BFE690C"/>
    <w:rsid w:val="60A5737B"/>
    <w:rsid w:val="63061CAF"/>
    <w:rsid w:val="638E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uiPriority w:val="0"/>
  </w:style>
  <w:style w:type="character" w:styleId="8">
    <w:name w:val="Hyperlink"/>
    <w:uiPriority w:val="0"/>
    <w:rPr>
      <w:color w:val="0000FF"/>
      <w:u w:val="single"/>
    </w:rPr>
  </w:style>
  <w:style w:type="character" w:customStyle="1" w:styleId="10">
    <w:name w:val="页眉 Char"/>
    <w:basedOn w:val="5"/>
    <w:link w:val="3"/>
    <w:uiPriority w:val="0"/>
    <w:rPr>
      <w:rFonts w:ascii="Times New Roman" w:hAnsi="Times New Roman" w:eastAsia="宋体" w:cs="Times New Roman"/>
      <w:sz w:val="18"/>
      <w:szCs w:val="18"/>
    </w:rPr>
  </w:style>
  <w:style w:type="character" w:customStyle="1" w:styleId="11">
    <w:name w:val="页脚 Char"/>
    <w:basedOn w:val="5"/>
    <w:link w:val="2"/>
    <w:uiPriority w:val="0"/>
    <w:rPr>
      <w:rFonts w:ascii="Times New Roman" w:hAnsi="Times New Roman" w:eastAsia="宋体" w:cs="Times New Roman"/>
      <w:sz w:val="18"/>
      <w:szCs w:val="18"/>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7CAA00-9039-46CB-9BD3-91AB4CE7048D}">
  <ds:schemaRefs/>
</ds:datastoreItem>
</file>

<file path=docProps/app.xml><?xml version="1.0" encoding="utf-8"?>
<Properties xmlns="http://schemas.openxmlformats.org/officeDocument/2006/extended-properties" xmlns:vt="http://schemas.openxmlformats.org/officeDocument/2006/docPropsVTypes">
  <Template>Normal</Template>
  <Pages>12</Pages>
  <Words>829</Words>
  <Characters>4728</Characters>
  <Lines>39</Lines>
  <Paragraphs>11</Paragraphs>
  <TotalTime>0</TotalTime>
  <ScaleCrop>false</ScaleCrop>
  <LinksUpToDate>false</LinksUpToDate>
  <CharactersWithSpaces>5546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2017-01-19T03:14:00Z</dcterms:created>
  <dc:creator>yu</dc:creator>
  <cp:lastModifiedBy>yu</cp:lastModifiedBy>
  <cp:lastPrinted>2017-05-10T03:27:14Z</cp:lastPrinted>
  <dcterms:modified xsi:type="dcterms:W3CDTF">2017-05-10T03:37:25Z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